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drawing>
          <wp:inline distT="0" distB="0" distL="0" distR="0">
            <wp:extent cx="14287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800"/>
      </w:pPr>
      <w:r>
        <w:rPr>
          <w:rFonts w:ascii="Arial" w:cs="Arial" w:eastAsia="Arial" w:hAnsi="Arial"/>
          <w:b/>
          <w:bCs/>
          <w:smallCaps/>
          <w:color w:val="8B5CF6"/>
        </w:rPr>
        <w:t xml:space="preserve">PRZEWODNIK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0D0B14"/>
          <w:sz w:val="52"/>
          <w:szCs w:val="52"/>
        </w:rPr>
        <w:t xml:space="preserve">Dokumentacja opakowań pod PPWR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0D0B14"/>
          <w:sz w:val="32"/>
          <w:szCs w:val="32"/>
        </w:rPr>
        <w:t xml:space="preserve">Co zebrać, co wpisać, czym to udowodnić</w:t>
      </w:r>
    </w:p>
    <w:p>
      <w:pPr>
        <w:spacing w:after="60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Instrukcja do wzoru dokumentacji technicznej (zał. VII)</w:t>
      </w:r>
    </w:p>
    <w:p>
      <w:pPr>
        <w:spacing w:after="800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Just Improve P.S.A.  ·  19 sierpnia 2026  ·  wersja 1.0</w:t>
      </w:r>
    </w:p>
    <w:p>
      <w:pPr>
        <w:spacing w:after="800"/>
      </w:pPr>
      <w:r>
        <w:rPr>
          <w:rFonts w:ascii="Arial" w:hAnsi="Arial" w:cs="Arial"/>
          <w:b w:val="0"/>
          <w:color w:val="6B7280"/>
          <w:sz w:val="20"/>
        </w:rPr>
        <w:t>justimprove.eu/ppwr  ·  kontakt@justimprove.eu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Spis treści</w:t>
      </w:r>
    </w:p>
    <w:sdt>
      <w:sdtPr>
        <w:alias w:val="Spis treści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1. Po co ten dokument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Rozporządzenie (UE) 2025/40 — PPWR — jest stosowane od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12 sierpnia 2026 r.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Od tego dnia dla każdego typu opakowania wprowadzanego do obrotu w Unii musi istnieć dokumentacja techniczna i deklaracja zgodności. Nie ma okresu przejściowego na wyprzedanie zapasów w opakowaniach niezgodnych, choć opakowania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wprowadzone do obrotu przed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12 sierpnia 2026 r. mogą pozostać na rynku i nie trzeba ich wycofywać.</w:t>
      </w:r>
    </w:p>
    <w:p>
      <w:pPr>
        <w:spacing w:after="150" w:before="0"/>
      </w:pPr>
      <w:r>
        <w:rPr>
          <w:rFonts w:ascii="Arial" w:hAnsi="Arial" w:cs="Arial"/>
          <w:b/>
          <w:color w:val="8B5CF6"/>
          <w:sz w:val="20"/>
        </w:rPr>
        <w:t>Gotowe dokumenty wygenerujesz online, bez wypełniania wzoru ręcznie: justimprove.eu/ppwr/generator-dokumentow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Ten przewodnik towarzyszy wzorowi dokumentacji technicznej i odpowiada na cztery pytania, które w praktyce zajmują 90 % czasu wdrożenia: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co w ogóle się wlicza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kto jest wytwórcą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co dokładnie wpisać w każde pole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i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czym udowodnić limit metali ciężkich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86EFAC" w:sz="4"/>
              <w:left w:val="single" w:color="86EFAC" w:sz="18"/>
              <w:bottom w:val="single" w:color="86EFAC" w:sz="4"/>
              <w:right w:val="single" w:color="86EFAC" w:sz="4"/>
            </w:tcBorders>
            <w:shd w:fill="F0FDF4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Trzy zdania, które oszczędzają najwięcej pracy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Certyfikat PPWR nie istnieje.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W rozporządzeniu nie ma takiego pojęcia. Procedura oceny zgodności to Moduł A — wewnętrzna kontrola produkcji, czyli samoocena bez jednostki notyfikowanej, bez opłaty i bez obowiązkowego badania.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Badanie laboratoryjne nie jest obowiązkowe. Udokumentowanie zgodności — jest.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Dla większości opakowań z tektury kupowanych w UE wystarcza pisemne oświadczenie dostawcy obudowane analizą ryzyka. Laboratorium jest wyjątkiem, nie standardem.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Dokumentację sporządza się na typ opakowania, nie na produkt.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Kilkanaście typów kartonów to kilkanaście teczek, niezależnie od tego, ile masz indeksów.</w:t>
            </w:r>
          </w:p>
        </w:tc>
      </w:tr>
    </w:tbl>
    <w:p>
      <w:pPr>
        <w:spacing w:after="150"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2. Komplet obowiązków od 12 sierpnia 2026 r.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700"/>
        <w:gridCol w:w="4826"/>
      </w:tblGrid>
      <w:tr>
        <w:trPr>
          <w:tblHeader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Element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Podstawa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Na czym polega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Dokumentacja techniczna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15 ust. 2, art. 38, zał. VII pkt 2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Teczka opisująca opakowanie: opis ogólny i przeznaczenie, projekt koncepcyjny i rysunki, materiały części składowych, wykaz norm i specyfikacji, jakościowy opis ocen z art. 6, 10 i 11, sprawozdania z badań — plus wymagana wprost „odpowiednia analiza i ocena ryzyka niezgodności”.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Deklaracja zgodności UE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39, zał. VIII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Jedna strona, osiem punktów, podpis. Oświadczenie własne wytwórcy, na jego wyłączną odpowiedzialność. Ma być stale aktualizowana.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Identyfikator opakowania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15 ust. 5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Numer typu, partii lub serii albo inny element pozwalający zidentyfikować opakowanie. Przy braku miejsca — w dokumencie towarzyszącym.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Dane wytwórcy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15 ust. 6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Nazwa, zarejestrowana nazwa handlowa lub znak towarowy oraz adres pocztowy wskazujący pojedynczy punkt kontaktu; jeśli dostępne — także kontakt elektroniczny. Na opakowaniu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albo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w kodzie QR lub innym nośniku danych.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Oznaczenie importera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18 ust. 3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Analogicznie, gdy wprowadzasz opakowanie spoza UE. Dla opakowań generycznych dopuszczalny dokument towarzyszący, np. przewozowy.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Limit metali ciężkich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5 ust. 4 i 6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Suma Pb + Cd + Hg + Cr(VI) nie wyższa niż 100 mg/kg, wykazana w dokumentacji technicznej.</w:t>
            </w:r>
          </w:p>
        </w:tc>
      </w:tr>
      <w:tr>
        <w:trPr>
          <w:tblHeader w:val="false"/>
        </w:trPr>
        <w:tc>
          <w:tcPr>
            <w:tcW w:type="dxa" w:w="2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Rejestracja i sprawozdawczość EPR</w:t>
            </w:r>
          </w:p>
        </w:tc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44–47 i prawo krajowe</w:t>
            </w:r>
          </w:p>
        </w:tc>
        <w:tc>
          <w:tcPr>
            <w:tcW w:type="dxa" w:w="4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Odrębny system. W Polsce: BDO. Poza państwem siedziby — obowiązek ustanowienia upoważnionego przedstawiciela ds. EPR w każdym państwie, w którym udostępniasz opakowanie po raz pierwszy (art. 45 ust. 3).</w:t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Ile masz czasu, gdy przyjdzie żądanie</w:t>
      </w:r>
    </w:p>
    <w:p>
      <w:pPr>
        <w:spacing w:after="150" w:before="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Dziesięć dni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od otrzymania uzasadnionego wniosku organu krajowego — na wydanie wszystkich informacji i dokumentacji, w formie elektronicznej, a na żądanie także papierowej, w języku łatwo zrozumiałym dla organu (art. 15 ust. 10; dla importera identycznie — art. 18 ust. 8). Retencja: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5 lat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dla opakowań jednorazowych i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10 lat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dla wielokrotnego użytku, licząc od wprowadzenia do obrotu (art. 15 ust. 3, zał. VII pkt 4).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3. Kto jest wytwórcą — i dlaczego to najważniejsze pytanie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Cała reszta zależy od odpowiedzi. Wytwórca sporządza dokumentację i podpisuje deklarację. Importer weryfikuje i przechowuje. Dystrybutor sprawdza trzy rzeczy i tyle.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„»wytwórca« oznacza każdą osobę fizyczną lub prawną, która wytwarza opakowanie lub produkt w opakowaniu; jednakże: a) […] w przypadku gdy dana osoba […] zleca zaprojektowanie lub wytworzenie opakowania […] pod swoją własną nazwą lub swoim własnym znakiem towarowym, niezależnie od tego, czy na opakowaniu […] widoczny jest jakikolwiek inny znak towarowy, »wytwórca« oznacza tę osobę […]”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Art. 3 ust. 1 pkt 13 rozporządzenia (UE) 2025/40</w:t>
            </w:r>
          </w:p>
        </w:tc>
      </w:tr>
    </w:tbl>
    <w:p>
      <w:pPr>
        <w:spacing w:after="13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Test w czterech krokach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Czy opakowanie nosi Twoją nazwę, markę albo znak towarowy?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Jeśli tak — jesteś wytwórcą. Koniec testu. Obecność znaku producenta opakowania niczego nie zmienia.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Jeśli nie — kto zamówił i zdecydował o specyfikacji projektowej?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Wytyczne Komisji formułują to jako kryterium rozstrzygające: „the decisive criterion is who places the order and decides on the design specifications for that packaging”. Jeśli podałeś wymiary, gatunek tektury albo konstrukcję — jesteś wytwórcą, mimo braku logo.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Jaka to kategoria?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Dla opakowań sprzedażowych i zbiorczych wytwórcą jest zwykle ten, kto napełnia je produktem. Dla opakowań transportowych — ten, kto je fizycznie wytwarza, chyba że są wyraźnie zabrandowane przez użytkownika.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Czy działa derogacja mikroprzedsiębiorstwa?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Jeżeli zlecający jest mikroprzedsiębiorstwem, a dostawca opakowania ma siedzibę w tym samym państwie członkowskim, wytwórcą jest dostawca. Kryteria mikroprzedsiębiorstwa: mniej niż 10 pracowników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obrót albo suma bilansowa nie wyższe niż 2 mln EUR — próg zatrudnienia jest twardy, a próg finansowy alternatywny. Uwaga: przy przedsiębiorstwach powiązanych dane się agreguje.</w:t>
      </w:r>
    </w:p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Tabela przypadków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900"/>
        <w:gridCol w:w="4526"/>
      </w:tblGrid>
      <w:tr>
        <w:trPr>
          <w:tblHeader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Sytuacja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Kto jest wytwórcą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robisz Ty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Gładki karton katalogowy z polskiej lub unijnej tekturnicy, bez Twojego oznaczenia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Tekturnica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Jesteś dystrybutorem. Weryfikujesz rejestrację producenta w rejestrze z art. 44, etykietowanie z art. 12 i oznaczenia z art. 15 ust. 5 i 6. Przechowujesz dane dostawcy 5 lat (art. 22). Deklaracji zgodności formalnie mieć nie musisz — ale bierz ją, bo to Twoja obrona przy audycie klienta.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Ten sam karton z Twoim nadrukiem lub logo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Ty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Pełen reżim art. 15: dokumentacja techniczna, deklaracja zgodności, oznaczenia na opakowaniu, retencja, 10 dni na wydanie dokumentów.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Karton bez logo, ale wykonany na Twoją specyfikację (wymiary, gatunek)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Ty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To samo. Brak logo nie ratuje — decyduje to, kto zdecydował o specyfikacji.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Taśma, folia stretch, folia bąbelkowa, wypełniacze, etykiety kupowane w UE z rolki, bez Twojego oznaczenia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Producent tych wyrobów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Zbierasz od nich oświadczenia i deklaracje. Nie sporządzasz własnej dokumentacji.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Opakowanie na towarze importowanym spoza UE, bez Twojej marki i specyfikacji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Producent z kraju trzeciego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Jesteś importerem (art. 18). Zapewniasz, że ocena zgodności została przeprowadzona i dokumentacja sporządzona;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przechowujesz kopię deklaracji zgodności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i zapewniasz dostępność dokumentacji organom przez 5 lat; umieszczasz swoje dane na opakowaniu albo w dokumencie towarzyszącym.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Opakowanie spoza UE, ale pod Twoją marką albo z Twoim numerem katalogowym w nadruku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Ty (art. 21)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Traktowany jak wytwórca. Producent z Azji nie ma żadnych obowiązków wobec organów UE — dlatego odpowiedzialność spada na pierwsze ogniwo z siedzibą w Unii.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Modyfikujesz opakowanie już wprowadzone do obrotu w sposób mogący wpłynąć na zgodność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Ty (art. 21)</w:t>
            </w:r>
          </w:p>
        </w:tc>
        <w:tc>
          <w:tcPr>
            <w:tcW w:type="dxa" w:w="4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Np. przycięcie kartonu na niższą wysokość zmienia objętość, a więc dotyka art. 10 i 24. Naklejenie taśmy i etykiety przy pakowaniu to normalne użycie, nie modyfikacja.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Dwie role, których nie wolno mylić: „wytwórca” i „producent”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Wytwórca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(manufacturer, art. 3 ust. 1 pkt 13) odpowiada za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zgodność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opakowania z wymogami art. 5–12. W całym łańcuchu dostaw jest zawsze tylko jeden, na całą Unię.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Producent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(producer, art. 3 ust. 1 pkt 15)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finansuje gospodarowanie odpadem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w państwie, w którym opakowanie stanie się odpadem. To system EPR — w Polsce BDO. Producentów może być wielu, po jednym na każde państwo.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Można nie być wytwórcą i jednocześnie być producentem w kilku państwach. To typowa sytuacja firmy handlowej.</w:t>
            </w: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Jedna konsekwencja tego rozróżnienia jest wyjątkowo kosztowna i warto ją znać przed decyzją o kanałach sprzedaży: kto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rozpakowuje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produkty w opakowaniach, nie będąc użytkownikiem końcowym, jest producentem tego opakowania w rozumieniu EPR (art. 3 ust. 1 pkt 15 lit. e). Firma, która sprowadza towar z Chin i przepakowuje go w polskim magazynie, odpowiada więc za masę chińskich kartonów, folii i palet, które u niej stają się odpadem — niezależnie od tego, że nigdy nie była ich wytwórcą.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4. Co się wlicza — inwentarz opakowań i komponentów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Pytanie „czy taśma to opakowanie?” ma jedną odpowiedź: tak. Podobnie etykieta, klej, farba, zszywki i wypełniacz. Poniższa tabela rozstrzyga pozycję po pozycji i podaje, na jakim poziomie każdą z nich wykazać.</w:t>
      </w:r>
    </w:p>
    <w:p>
      <w:pPr>
        <w:spacing w:after="150" w:before="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Poziom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oznacza: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korpus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główny element jednostki;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INT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komponent zintegrowany, pozostaje połączony z korpusem;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SEP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komponent osobny, daje się oddzielić bez narzędzi;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masa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nie jest osobnym komponentem, ale wchodzi do bilansu masy i do sumy metali ciężkich;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format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odrębny format opakowaniowy, wymagający własnej dokumentacji i własnej deklaracji.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50"/>
        <w:gridCol w:w="1150"/>
        <w:gridCol w:w="1250"/>
        <w:gridCol w:w="4476"/>
      </w:tblGrid>
      <w:tr>
        <w:trPr>
          <w:tblHeader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Pozycja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Opakowanie?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Poziom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Uwagi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Karton tekturowy gładki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korpus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Zwykle opakowanie transportowe; w sprzedaży wysyłkowej do konsumenta — opakowanie e-commerce; jeśli klient kupuje część w tym kartonie jako jednostce sprzedaży — sprzedażowe.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Karton z nadrukiem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korpus (farba: masa)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Farba nie jest osobnym komponentem, ale wchodzi do bilansu metali ciężkich. Nadruk logo przenosi status wytwórcy na Ciebie.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Taśma klejąca PP, papierowa, wzmocniona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Funkcja zamknięcia, zostaje na kartonie i jest wyrzucana razem z nim. Wykaż w tabeli komponentów i zabezpiecz oświadczenie dostawcy.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Zszywki i łączniki metalowe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Nazwane wprost w załączniku I do PPWR. Przy pasywacji chromianowej — potencjalne źródło Cr(VI), choć udział masowy zwykle znikomy.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Klej, hot melt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Wchodzi do sumy metali ciężkich, ale nie do testu opakowania kompozytowego.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Farby drukarskie i lakier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Jak wyżej. Producenci farb nie wystawiają deklaracji zgodności pod PPWR — dostarczają informacje wspierające.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Etykiety papierowe i z tworzywa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INT lub SEP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Wprost w załączniku I. Wymagają danych materiałowych: materiał, rodzaj kleju, powierzchnia pokrycia.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Etykieta przewozowa naklejana przez kuriera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TAK, ale nie Twoja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Wytwórcą jest przewoźnik. Nie wciągaj jej do swojego pliku, chyba że drukujesz ją z własnego zapasu etykiet.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Folia bąbelkowa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Odrębny format. Uwaga: przestrzeń wypełniona folią bąbelkową liczy się od 2030 r. jako pusta przestrzeń, nie jako wypełnienie.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Worki LDPE, polybag na produkcie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 lub korpus własnej jednostki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Jeśli część jedzie do klienta w worku z etykietą i kodem EAN, worek jest jednostką sprzedażową i potrzebuje własnej deklaracji.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Folia stretch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Własna dokumentacja i własna deklaracja — Komisja wymienia wrappings wprost jako odrębny format.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Taśmy spinające (strapping)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Odrębny format, oddzielny od folii stretch.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Wypełniacze: papier, poduszki powietrzne, chipsy EPS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 (każdy osobno)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Wymienione wprost w art. 24 jako pusta przestrzeń.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Wkłady i przekładki kartonowe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SEP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Nawet przy tym samym materiale co korpus — osobna pozycja w tabeli komponentów.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Saszetki z pochłaniaczem wilgoci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raczej 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INT lub SEP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Brak w załączniku I i w wykładni Komisji. Argument za: element konieczny do zachowania produktu, wyrzucany razem z opakowaniem. Rekomendacja: traktować jak opakowanie — koszt EPR mały, ryzyko sporu duże.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Folia antykorozyjna VCI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 lub INT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Dodatkowo: substancje aktywne dotykają art. 5 ust. 1. Weź od dostawcy oświadczenie o substancjach.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Palety drewniane i plastikowe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Własna dokumentacja i własna deklaracja. Palety plastikowe zwykle wielokrotnego użytku → retencja 10 lat. Palety nie korzystają ze zwolnienia z wymogu recyklowalności — ono dotyczy wyłącznie opakowań sprzedażowych z lekkiego drewna.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Przekładki (slip sheets), narożniki ochronne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 lub SEP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Poza celami ponownego użycia z art. 29, ale objęte art. 5, 6, 10 i 24.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Klipsy, uchwyty plastikowe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INT lub SEP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Małe komponenty przy korpusie — istotne dla przyszłej oceny recyklowalności, bo giną w sortowaniu.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Wieszaki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zależy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Wieszak sprzedawany razem z odzieżą jest opakowaniem; sprzedawany osobno — nie jest. Analogicznie zawieszka blistra: element zintegrowany opakowania sprzedażowego.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Kapturki i zatyczki ochronne części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zależy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INT lub SEP, jeśli opakowanie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Test faktyczny: jeżeli element jest usuwany przy montażu i służy wyłącznie ochronie w transporcie — opakowanie. Jeżeli zostaje w eksploatacji przez życie produktu — integralna część produktu, nie opakowanie. Udokumentuj decyzję przy każdym indeksie.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Zwrotna skrzynka plastikowa do dostawcy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TAK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format, wielokrotnego użytku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Retencja 10 lat, etykieta „reusable” od 12.02.2029. Skrzynka w drodze do regeneracji nie jest odpadem.</w:t>
            </w:r>
          </w:p>
        </w:tc>
      </w:tr>
      <w:tr>
        <w:trPr>
          <w:tblHeader w:val="false"/>
        </w:trPr>
        <w:tc>
          <w:tcPr>
            <w:tcW w:type="dxa" w:w="2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Tagi RFID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  <w:tc>
          <w:tcPr>
            <w:tcW w:type="dxa" w:w="44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Wyłączone wprost w załączniku I.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5. Ile plików — granulacja dokumentacji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Zakres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Podejście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Karton + taśma + etykieta + wkładka + wypełniacz jako jedna wysyłana jednostka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Jeden plik i jedna deklaracja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z tabelą komponentów w środku. Komisja: ocenę zgodności przeprowadza się i deklarację sporządza „for the entire packaging unit… including all integrated and separate components”.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Paleta, folia stretch, taśma spinająca, skrzynka zwrotna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Każde osobno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— odrębny format, odrębna ocena, odrębna deklaracja.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Ten sam karton w kilku rozmiarach, ta sama tektura, ten sam dostawca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Jedna deklaracja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dla całej rodziny, o ile różnica rozmiaru nie wpływa na spełnienie żadnego z wymogów art. 5–12. Wypisz objęte indeksy w sekcji 1.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Kilka aktów prawa UE wymagających deklaracji dla tego samego opakowania lub produktu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Można sporządzić jedną wspólną deklarację albo dossier złożone z odrębnych deklaracji — wytwórca ma tu swobodę wyboru.</w:t>
            </w:r>
          </w:p>
        </w:tc>
      </w:tr>
    </w:tbl>
    <w:p>
      <w:pPr>
        <w:spacing w:after="13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5E7EB" w:sz="4"/>
              <w:left w:val="single" w:color="E5E7EB" w:sz="18"/>
              <w:bottom w:val="single" w:color="E5E7EB" w:sz="4"/>
              <w:right w:val="single" w:color="E5E7EB" w:sz="4"/>
            </w:tcBorders>
            <w:shd w:fill="F9FAF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Od 2030 r., gdy zacznie obowiązywać ocena minimalizacji z art. 10, granulacja będzie musiała zejść niżej — ta ocena zależy od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pakowanego produktu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a nie tylko od opakowania. Dlatego już teraz warto zbierać wymiary wewnętrzne i przypisanie indeksów produktowych do formatów kartonu. To dane, których później nikt nie odtworzy wstecz.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6. Instrukcja wypełniania — pole po polu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Kolumna „Co gdy nie wiesz” jest tu najważniejsza. Pole puste bez adnotacji to jedyny wariant, który jest wprost niezgodny z rozporządzeniem — zapisana luka z planem uzupełnienia jest znacznie lepsza.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Metryka i rola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4226"/>
      </w:tblGrid>
      <w:tr>
        <w:trPr>
          <w:tblHeader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Skąd wziąć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gdy nie wiesz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Numer dokumentacji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Nadaj sam, np. PPWR-TD-[kod typu]. Musi dać się połączyć z numerem deklaracji.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ma „nie wiem” — po prostu nadaj i trzymaj się konwencji.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Rewizja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1.0 przy pierwszym wydaniu; podnoś przy każdej zmianie materiału.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Rola wobec opakowania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Test z rozdziału 3.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Przy wątpliwości przyjmij rolę wytwórcy. Nadmiar dokumentacji nie jest niezgodnością; jej brak — jest.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Numer w rejestrze producentów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BDO. Sprawdź w rejestrze, czy wpis jest aktualny i obejmuje właściwy zakres.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Jeśli nie masz wpisu, a wprowadzasz towar w opakowaniach — to jest pilniejsze niż cała reszta.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1 — opis ogólny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4226"/>
      </w:tblGrid>
      <w:tr>
        <w:trPr>
          <w:tblHeader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Skąd wziąć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gdy nie wiesz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Kategoria wg PPWR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 definicji art. 3: sprzedażowe (pkt 5), zbiorcze (pkt 6), transportowe (pkt 7), e-commerce (pkt 8).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Rozstrzygnij per format i per kanał. Ten sam karton bywa transportowy w B2B i e-commerce w B2C — zapisz oba użycia.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Jednorazowe czy wielokrotne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Czy opakowanie jest zaprojektowane i wprowadzone do systemu ponownego użycia.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Domyślnie jednorazowe. Decyduje o retencji 5 vs 10 lat.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Rynki wprowadzenia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Lista państw, do których wysyłasz.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Wypisz te, o których wiesz. To pole decyduje o języku deklaracji i o obowiązku przedstawiciela EPR.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Wolumen roczny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 systemu zamówień: liczba sztuk × masa jednostkowa.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Oszacuj: liczba przesyłek × średnia masa opakowania. Ta sama liczba jest potrzebna do sprawozdania EPR, więc i tak ją policzysz.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Oznaczenia art. 15 ust. 5 i 6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Obejrzyj fizyczny karton i zrób zdjęcie.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Jeśli danych wytwórcy na kartonie nie ma — to jest niezgodność do usunięcia, nie pole do wypełnienia. Najszybsze rozwiązanie: naklejka nanoszona w magazynie albo kod QR; nadruk przy najbliższej zmianie klisz.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2 — konstrukcja i wymiary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4226"/>
      </w:tblGrid>
      <w:tr>
        <w:trPr>
          <w:tblHeader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Skąd wziąć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gdy nie wiesz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Kod FEFCO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Karta techniczna dostawcy albo pytanie do handlowca. Najczęstszy karton klapowy to 0201.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Opisz konstrukcję słownie: „karton klapowy, klapy górne stykają się na środku”. To wystarczy.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Wymiary wewnętrzne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Karta techniczna albo pomiar taśmą.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Zmierz. Pół godziny pracy magazynu zamyka temat dla całego asortymentu.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 jednostkowa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Zważ.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To najważniejsza liczba w całej dokumentacji — na niej opiera się bilans metali ciężkich i sprawozdawczość EPR.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szacuj. Waga kuchenna wystarczy. Waż opakowanie kompletne: karton z taśmą i etykietą.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Gatunek i gramatura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Karta techniczna dostawcy.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Poproś dostawcę — to informacja, której musi udzielić na podstawie art. 16 ust. 1.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Rysunek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Poproś o dieline w PDF. Zwykle dostawca ma go w systemie i wyśle w jednym mailu.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Kod FEFCO + wymiary + gatunek + masa. Zobacz rozdział 8.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3 — tabela komponentów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4226"/>
      </w:tblGrid>
      <w:tr>
        <w:trPr>
          <w:tblHeader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Skąd wziąć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gdy nie wiesz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Lista komponentów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Rozbierz jedno opakowanie na części i wypisz, co zostało.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Sprawdź inwentarz z rozdziału 4 — najczęściej pomijane są taśma, klej, farba i zszywki.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 komponentu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Zważ osobno. Taśmę i etykietę policz z metrażu na jedno opakowanie.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Dla farby i kleju przyjmij dane dostawcy — zwykle podaje gramaturę nadruku i naniesienia kleju. Jeśli nie poda, przyjmij ostrożne oszacowanie i zaznacz, że to oszacowanie.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Udział procentowy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 komponentu ÷ masa jednostki.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Nr dokumentu dostawcy</w:t>
            </w:r>
          </w:p>
        </w:tc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Numer oświadczenia lub deklaracji, którą od niego dostałeś.</w:t>
            </w:r>
          </w:p>
        </w:tc>
        <w:tc>
          <w:tcPr>
            <w:tcW w:type="dxa" w:w="4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„Brak — żądanie wysłane [data], termin odpowiedzi [data]”. To jest prawidłowy wpis, a nie porażka.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Sekcje 4–10 — najczęstsze błędy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Sekcja 4.1: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wpisanie wyników bez wyliczonej sumy. Limit dotyczy sumy czterech metali, więc suma musi być w dokumencie.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Sekcja 4.2: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zamawianie badania PFAS dla opakowania, które nie ma kontaktu z żywnością. Art. 5 ust. 5 dotyczy wyłącznie opakowań do kontaktu z żywnością — jedno zdanie „nie dotyczy” zamyka temat i oszczędza najdroższe badanie w całym pakiecie.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Sekcja 5: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wpisanie „ryzyko niskie” bez uzasadnienia. To jedyny element wymagany wprost poza listą lit. a)–f) i to on decyduje, czy oświadczenie dostawcy jest dowodem, czy tylko papierem.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Sekcja 6: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wpisanie EN 13427 lub EN 13432 jako normy zharmonizowanej. Pod PPWR nie są. Właściwe miejsce dla nich to „inne specyfikacje techniczne”.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Sekcja 9: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brak rejestru zmian. Bez niego nie da się wykazać, że nadzór nad wytwarzaniem z zał. VII pkt 3 istnieje.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Sekcja 10: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brak numeru deklaracji albo numer nieunikalny. Punkt 1 załącznika VIII wymaga jednoznacznej identyfikacji — według wykładni Komisji chodzi o typ, partię albo numer seryjny.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7. Metale ciężkie — pełny obraz</w:t>
      </w: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7.1. Które substancje i jak liczone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Cztery metale, jedna wspólna suma: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ołów (Pb), kadm (Cd), rtęć (Hg), chrom sześciowartościowy Cr(VI)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 Limit 100 mg/kg dotyczy sumy, nie każdego metalu osobno. Nie obejmuje arsenu, niklu ani cyny. Nie chodzi o chrom całkowity, tylko o chrom na szóstym stopniu utlenienia.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Punktem odniesienia jest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jednostka opakowaniowa jako całość, wraz z farbami, lakierami i klejami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tak stanowi wykładnia Komisji. To nie jest logika RoHS, w której liczy się „materiał homogeniczny”. Twierdzenie, że PPWR wymaga raportowania na poziomie materiału homogenicznego, krąży w poradnikach dla eksporterów azjatyckich i jest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błędne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nie płać za rozbicie na warstwy, jeśli nie potrzebujesz tego diagnostycznie.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Obliczenie to średnia ważona masą. Dla każdego materiału mnożysz jego stężenie przez jego masę, sumujesz i dzielisz przez masę całego opakowania. Wzór jest zapisany w polskim rozporządzeniu Ministra Środowiska z 21 stycznia 2015 r. (Dz.U. 2015 poz. 170, § 4 i § 5), które nadal formalnie obowiązuje i pozostaje najlepszym dostępnym w polskim prawie wzorcem metodycznym. Powołuj je jako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metodę techniczną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a jako podstawę materialną — art. 5 ust. 4 PPWR.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86EFAC" w:sz="4"/>
              <w:left w:val="single" w:color="86EFAC" w:sz="18"/>
              <w:bottom w:val="single" w:color="86EFAC" w:sz="4"/>
              <w:right w:val="single" w:color="86EFAC" w:sz="4"/>
            </w:tcBorders>
            <w:shd w:fill="F0FDF4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Arytmetyka, która broni Twoich kartonów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Etykieta 1,5 g z farbą zawierającą 500 mg/kg ołowiu na kartonie 400 g wnosi do sumy 500 × 1,5 / 400 ≈ 1,9 mg/kg.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Farby na opakowaniach potrafią mieć ołów rzędu setek, a nawet tysięcy mg/kg — a opakowanie i tak przechodzi, bo farba stanowi promile masy.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Realne przekroczenia w historii pomiarów dotyczyły elastycznego przezroczystego PVC i skrzynek na napoje z recyklatu. Nie tektury.</w:t>
            </w:r>
          </w:p>
        </w:tc>
      </w:tr>
    </w:tbl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7.2. Derogacje — i dlaczego prawdopodobnie Cię nie dotyczą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Odstępstwa od limitu nie są zapisane w PPWR. Utrzymują się na podstawie dwóch decyzji Komisji, które art. 70 ust. 3 PPWR pozostawia w mocy: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2001/171/WE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(opakowania szklane) i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2009/292/WE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(skrzynki i palety z tworzyw sztucznych w obiegu zamkniętym i kontrolowanym). Akty delegowane, o których mowa w art. 5 ust. 8, mogą wyłącznie zmieniać te dwie derogacje — nie tworzyć nowych. Decyzja 1999/177/WE wygasła w 2009 r. i nie ma jej.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Warto zapamiętać z nich jedno pojęcie, wspólne dla obu: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brak zamierzonego wprowadzania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 Obecność metalu jako niezamierzonego zanieczyszczenia, typowa dla recyklatu, jest tolerowana do 100 mg/kg. Celowe dodanie substancji zawierającej te metale — nie. To właśnie o tę różnicę należy zapytać dostawcę i to zdanie powinno znaleźć się w jego oświadczeniu.</w:t>
      </w:r>
    </w:p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7.3. Metoda badawcza i normy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Nie istnieje norma o oznaczeniu „EN 13695-1”. Właściwy dokument to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raport CEN CR 13695-1:2000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w wersji polskiej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PKN-CEN/CR 13695-1:2005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„Wymagania dotyczące pomiaru i sprawdzania zawartości czterech metali ciężkich w opakowaniach”. Komisja Europejska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rekomenduje go wprost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jako sposób wykazania zgodności z art. 5 ust. 4. Zawiera zasady pobierania i przygotowania próbek, wymagania co do wykrywalności metody, wzory obliczeniowe i wymagania dotyczące raportowania.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Do art. 5 nie ma i nie będzie w najbliższym czasie normy zharmonizowanej — artykuł 5 nie został objęty wnioskiem normalizacyjnym Komisji. Brak normy zharmonizowanej oznacza brak domniemania zgodności, a więc swobodę wyboru metody połączoną z obowiązkiem jej uzasadnienia w dokumentacji technicznej.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900"/>
        <w:gridCol w:w="4426"/>
      </w:tblGrid>
      <w:tr>
        <w:trPr>
          <w:tblHeader/>
        </w:trPr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Analit</w:t>
            </w:r>
          </w:p>
        </w:tc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Ścieżka analityczna</w:t>
            </w:r>
          </w:p>
        </w:tc>
        <w:tc>
          <w:tcPr>
            <w:tcW w:type="dxa" w:w="4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Uwaga</w:t>
            </w:r>
          </w:p>
        </w:tc>
      </w:tr>
      <w:tr>
        <w:trPr>
          <w:tblHeader w:val="false"/>
        </w:trPr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Pb, Cd (oraz Cr całkowity)</w:t>
            </w:r>
          </w:p>
        </w:tc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Mineralizacja kwasowa mikrofalowa w naczyniach zamkniętych, następnie ICP-MS lub ICP-OES</w:t>
            </w:r>
          </w:p>
        </w:tc>
        <w:tc>
          <w:tcPr>
            <w:tcW w:type="dxa" w:w="4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Standard rynkowy. Granice oznaczalności rzędu 0,5–2 mg/kg.</w:t>
            </w:r>
          </w:p>
        </w:tc>
      </w:tr>
      <w:tr>
        <w:trPr>
          <w:tblHeader w:val="false"/>
        </w:trPr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Hg</w:t>
            </w:r>
          </w:p>
        </w:tc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CV-AAS (technika zimnych par) albo bezpośredni analizator rtęci</w:t>
            </w:r>
          </w:p>
        </w:tc>
        <w:tc>
          <w:tcPr>
            <w:tcW w:type="dxa" w:w="4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Rtęć jest lotna — ginie przy mineralizacji w układzie otwartym.</w:t>
            </w:r>
          </w:p>
        </w:tc>
      </w:tr>
      <w:tr>
        <w:trPr>
          <w:tblHeader w:val="false"/>
        </w:trPr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Cr(VI)</w:t>
            </w:r>
          </w:p>
        </w:tc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Ekstrakcja alkaliczna, następnie spektrofotometria z difenylokarbazydem przy 540 nm albo chromatografia jonowa</w:t>
            </w:r>
          </w:p>
        </w:tc>
        <w:tc>
          <w:tcPr>
            <w:tcW w:type="dxa" w:w="4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Mineralizacja kwasowa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niszczy specjację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— po niej nie da się odróżnić Cr(VI) od Cr(III).</w:t>
            </w:r>
          </w:p>
        </w:tc>
      </w:tr>
      <w:tr>
        <w:trPr>
          <w:tblHeader w:val="false"/>
        </w:trPr>
        <w:tc>
          <w:tcPr>
            <w:tcW w:type="dxa" w:w="1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Przesiew</w:t>
            </w:r>
          </w:p>
        </w:tc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XRF — nieniszczący, bez mineralizacji</w:t>
            </w:r>
          </w:p>
        </w:tc>
        <w:tc>
          <w:tcPr>
            <w:tcW w:type="dxa" w:w="4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Mierzy pierwiastek, nie stopień utlenienia. Najtańszy sposób sprawdzenia, czy w ogóle jest problem.</w:t>
            </w: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Praktyka laboratoriów: najpierw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chrom całkowity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a oznaczenie specjacyjne Cr(VI) tylko wtedy, gdy chrom całkowity jest wysoki. Logika jest poprawna — Cr(VI) jest podzbiorem chromu całkowitego, więc jeżeli suma policzona z chromem całkowitym mieści się w limicie, Cr(VI) tym bardziej się mieści. Uzasadnij to jednak w dokumentacji wprost.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Trzy pomyłki normatywne, które kosztują pieniądze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EN 12497 / EN 12498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mierzą migrację metali do wyciągu wodnego, nie zawartość całkowitą. Raport na tej podstawie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nie jest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dowodem na art. 5 ust. 4.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ISO 3613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dotyczy powłok chromianowych na metalu. Do tektury, taśm i folii nie ma zastosowania.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Właściwa norma dla Cr(VI) w materiałach stałych to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EN ISO 15192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(ekstrakcja alkaliczna), a nie „EN 15205”.</w:t>
            </w:r>
          </w:p>
        </w:tc>
      </w:tr>
    </w:tbl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7.4. Ścieżki dowodowe — co zdobyć w każdym przypadku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Przypadek</w:t>
            </w:r>
          </w:p>
        </w:tc>
        <w:tc>
          <w:tcPr>
            <w:tcW w:type="dxa" w:w="6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zdobyć</w:t>
            </w:r>
          </w:p>
        </w:tc>
      </w:tr>
      <w:tr>
        <w:trPr>
          <w:tblHeader w:val="false"/>
        </w:trPr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Karton od polskiego lub unijnego producenta tektury</w:t>
            </w:r>
          </w:p>
        </w:tc>
        <w:tc>
          <w:tcPr>
            <w:tcW w:type="dxa" w:w="6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Pisemne oświadczenie dostawcy wystarczy.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Badanie nie jest potrzebne. Tektura falista to kategoria najniższego ryzyka, a polskie zakłady wystawiają takie oświadczenia od lat, bo obowiązek istnieje nieprzerwanie od 2003 r. Wymagaj jednak, żeby powoływało art. 5 ust. 4 rozporządzenia (UE) 2025/40, a nie uchylony art. 11 dyrektywy 94/62/WE.</w:t>
            </w:r>
          </w:p>
        </w:tc>
      </w:tr>
      <w:tr>
        <w:trPr>
          <w:tblHeader w:val="false"/>
        </w:trPr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Taśma, stretch, folia bąbelkowa, wypełniacze, etykiety z UE</w:t>
            </w:r>
          </w:p>
        </w:tc>
        <w:tc>
          <w:tcPr>
            <w:tcW w:type="dxa" w:w="6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Oświadczenie na każdy typ osobno, nie jedno zbiorcze „na wszystko”. Naciskaj mocniej przy pozycjach podwyższonego ryzyka: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taśmy barwione i z nadrukiem, folie kolorowe i czarne z recyklatu, etykiety wielokolorowe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. Historyczne źródła to pigmenty kadmowe i chromian ołowiu, które wracają w recyklacie.</w:t>
            </w:r>
          </w:p>
        </w:tc>
      </w:tr>
      <w:tr>
        <w:trPr>
          <w:tblHeader w:val="false"/>
        </w:trPr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Opakowanie importowane z Chin</w:t>
            </w:r>
          </w:p>
        </w:tc>
        <w:tc>
          <w:tcPr>
            <w:tcW w:type="dxa" w:w="6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Oświadczenie o braku zamierzonego wprowadzania + specyfikacja materiałowa + jeśli jest, raport z badań. Raport chińskiego laboratorium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jest akceptowalny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— PPWR nie wymaga, by badanie wykonano w UE ani w jednostce notyfikowanej. Sprawdź jednak zakres akredytacji i pozostałe pozycje z checklisty poniżej.</w:t>
            </w:r>
          </w:p>
        </w:tc>
      </w:tr>
      <w:tr>
        <w:trPr>
          <w:tblHeader w:val="false"/>
        </w:trPr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Brak czegokolwiek</w:t>
            </w:r>
          </w:p>
        </w:tc>
        <w:tc>
          <w:tcPr>
            <w:tcW w:type="dxa" w:w="6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zostawiaj pustego pola. Zapisz lukę, wstępną analizę ryzyka i plan z datami. Powołaj się wobec dostawcy na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art. 16 ust. 1 PPWR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— dostawca ma obowiązek przekazać wytwórcy wszystkie informacje i dokumentację niezbędne do wykazania zgodności i nie może odmówić.</w:t>
            </w:r>
          </w:p>
        </w:tc>
      </w:tr>
    </w:tbl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7.5. Kiedy naprawdę zlecić badanie — i jak nie przepłacić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Segmentuj przez ryzyko, nie przez indeks.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Badasz materiał i technologię zadruku, nie każdy rozmiar pudła. Ta sama tektura, ta sama farba, ta sama fabryka to jedna próbka reprezentatywna dla całej rodziny formatów. Koszt zależy od materiału, nie od kształtu.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Zacznij od przesiewu XRF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na Cr, Pb i Cd. Tani, szybki, nieniszczący. Jeśli nic nie widzi, badanie specjacyjne Cr(VI) jest zbędne.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Pełne badanie potwierdzające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tylko na materiałach podejrzanych.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Zamawiaj z powołaniem na CR 13695-1:2000 i art. 5 ust. 4 rozporządzenia (UE) 2025/40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z żądaniem, by sprawozdanie zawierało wyniki dla każdego z czterech metali osobno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oraz wyliczoną sumę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Zbierz wszystkie materiały w jedno zlecenie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opłata za zlecenie jest jednorazowa, a rabaty ilościowe standardowe.</w:t>
      </w:r>
    </w:p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Realistyczny plan minimum dla firmy handlowej importującej z Azji: jedna próbka kartonu z własnym nadrukiem, jedna próbka kartonu z Chin, jedna próbka taśmy barwionej i jedna etykiety —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cztery próbki, rząd 3–4,5 tys. zł netto jednorazowo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 To zamyka temat na lata.</w:t>
      </w:r>
    </w:p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7.6. Checklista akceptowalności sprawozdania z badań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Zanim wpiszesz raport do dokumentacji, sprawdź jedenaście rzeczy. Pierwsze sześć odpowiada wprost wymaganiom, jakie polskie prawo stawia protokołowi badań opakowań.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Nazwa jednostki wykonującej badania, z lokalizacją. Sam napis „SGS” bez wskazania konkretnego laboratorium jest nieidentyfikowalny.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Numer certyfikatu akredytacji albo oświadczenie o wdrożonym systemie jakości —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i sprawdzenie, czy zakres akredytacji obejmuje oznaczanie metali w opakowaniach, papierze lub tworzywach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Nazwa producenta lub importera badanego opakowania — musi wskazywać Twojego dostawcę, nie anonimowego „klienta”.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Identyfikacja i opis badanego opakowania: konkretny indeks, gramatura, wymiar. Nie „carton box”.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Wyniki dla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każdego z czterech metali osobno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oraz wyliczona suma. Data badania nie starsza niż 2–3 lata.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Podpis osoby wykonującej badania.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Powołana metoda: CR 13695-1:2000, mineralizacja + ICP-MS/OES, CV-AAS dla rtęci, ekstrakcja alkaliczna dla Cr(VI).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Odrzuć raport oparty wyłącznie na wyciągu wodnym.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Granice oznaczalności pozwalające wykryć co najmniej 1 mg każdego metalu na 1 kg. Zapis „&lt; 10 mg/kg” dla każdego z czterech metali jest zbyt zgrubny.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Jednoznaczne odniesienie do limitu: „sum of Pb + Cd + Hg + Cr(VI) ≤ 100 mg/kg per Regulation (EU) 2025/40 Art. 5(4)”.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Opis sposobu pobrania próbki, najlepiej ze zdjęciem — wiąże raport z rzeczywistą produkcją, a nie z próbką pokazową.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Osobne oświadczenie fabryki o braku zamierzonego wprowadzania metali. Badanie samo tej luki nie zamyka.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Czerwone flagi — przy nich raport odrzucaj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Raport starszy niż 3–5 lat. Brak numeru akredytacji. Wynik podany jako „PASS” bez liczb. Tylko chrom całkowity przy sumie przekraczającej 100 mg/kg. Brak Cr(VI) w zakresie badania. Próbka niepowiązana z Twoim indeksem. Raport wystawiony na inną firmę bez ścieżki powiązania.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Szczególnie częste w motoryzacji: raport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RoHS lub REACH dotyczący produktu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a nie opakowania. To zupełnie inny dokument i nie jest dowodem na art. 5 ust. 4.</w:t>
            </w:r>
          </w:p>
        </w:tc>
      </w:tr>
    </w:tbl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7.7. Laboratoria i koszty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100"/>
        <w:gridCol w:w="4026"/>
      </w:tblGrid>
      <w:tr>
        <w:trPr>
          <w:tblHeader/>
        </w:trPr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Laboratorium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Zakres</w:t>
            </w:r>
          </w:p>
        </w:tc>
        <w:tc>
          <w:tcPr>
            <w:tcW w:type="dxa" w:w="4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Kontakt / uwagi</w:t>
            </w:r>
          </w:p>
        </w:tc>
      </w:tr>
      <w:tr>
        <w:trPr>
          <w:tblHeader w:val="false"/>
        </w:trPr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Sieć Badawcza Łukasiewicz — Łódzki Instytut Technologiczny (dawne COBRO — Instytut Badawczy Opakowań)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Zawartość Cr, Cd, Hg, Pb w opakowaniach</w:t>
            </w:r>
          </w:p>
        </w:tc>
        <w:tc>
          <w:tcPr>
            <w:tcW w:type="dxa" w:w="4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Łódź, ul. M. Skłodowskiej-Curie 19/27. Najbardziej branżowy adres w Polsce. Przy zapytaniu poproś o zakres akredytacji na tę konkretną metodę.</w:t>
            </w:r>
          </w:p>
        </w:tc>
      </w:tr>
      <w:tr>
        <w:trPr>
          <w:tblHeader w:val="false"/>
        </w:trPr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J.S. Hamilton Poland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Metale ciężkie zgodnie z 94/62: suma Cr(VI), Pb, Hg, Cd</w:t>
            </w:r>
          </w:p>
        </w:tc>
        <w:tc>
          <w:tcPr>
            <w:tcW w:type="dxa" w:w="4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Gdynia, akredytacja PCA AB 079.</w:t>
            </w:r>
          </w:p>
        </w:tc>
      </w:tr>
      <w:tr>
        <w:trPr>
          <w:tblHeader w:val="false"/>
        </w:trPr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Eurofins Polska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Metale, PFAS, migracja, recyklat</w:t>
            </w:r>
          </w:p>
        </w:tc>
        <w:tc>
          <w:tcPr>
            <w:tcW w:type="dxa" w:w="4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Szeroki pakiet, przydatny gdy dochodzi kontakt z żywnością.</w:t>
            </w:r>
          </w:p>
        </w:tc>
      </w:tr>
      <w:tr>
        <w:trPr>
          <w:tblHeader w:val="false"/>
        </w:trPr>
        <w:tc>
          <w:tcPr>
            <w:tcW w:type="dxa" w:w="2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SGS, Bureau Veritas, Intertek, TÜV — oddziały w Polsce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Pakiety PPWR</w:t>
            </w:r>
          </w:p>
        </w:tc>
        <w:tc>
          <w:tcPr>
            <w:tcW w:type="dxa" w:w="4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Zwykle realizują przez laboratoria grupy w UE lub Azji, nie lokalnie.</w:t>
            </w:r>
          </w:p>
        </w:tc>
      </w:tr>
    </w:tbl>
    <w:p>
      <w:pPr>
        <w:spacing w:after="13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100"/>
        <w:gridCol w:w="3526"/>
      </w:tblGrid>
      <w:tr>
        <w:trPr>
          <w:tblHeader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Pozycja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Rząd wielkości</w:t>
            </w:r>
          </w:p>
        </w:tc>
        <w:tc>
          <w:tcPr>
            <w:tcW w:type="dxa" w:w="3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Termin</w:t>
            </w: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Pakiet czterech metali, jedna próbka — benchmark UE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od ok. 160–200 EUR netto</w:t>
            </w:r>
          </w:p>
        </w:tc>
        <w:tc>
          <w:tcPr>
            <w:tcW w:type="dxa" w:w="3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10–15 dni roboczych</w:t>
            </w: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To samo w Polsce — szacunek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600–1200 PLN netto za próbkę</w:t>
            </w:r>
          </w:p>
        </w:tc>
        <w:tc>
          <w:tcPr>
            <w:tcW w:type="dxa" w:w="3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10–20 dni roboczych</w:t>
            </w: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Dopłata za materiały kompozytowe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+30–50 %</w:t>
            </w:r>
          </w:p>
        </w:tc>
        <w:tc>
          <w:tcPr>
            <w:tcW w:type="dxa" w:w="3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Chiński panel metali, ok. 5 materiałów, laboratorium akredytowane ISO 17025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800–1500 EUR</w:t>
            </w:r>
          </w:p>
        </w:tc>
        <w:tc>
          <w:tcPr>
            <w:tcW w:type="dxa" w:w="3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5–7 dni roboczych</w:t>
            </w: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Audyt zgodności PPWR w Polsce (usługa doradcza, nie badanie)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od ok. 3900 PLN netto za prostą konstrukcję</w:t>
            </w:r>
          </w:p>
        </w:tc>
        <w:tc>
          <w:tcPr>
            <w:tcW w:type="dxa" w:w="35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110"/>
      </w:pP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Polskie laboratoria nie publikują cenników na to badanie — widełki w PLN są ekstrapolacją z benchmarków unijnych i wymagają potwierdzenia zapytaniem ofertowym. Zapytaj równolegle Łukasiewicz-ŁIT, J.S. Hamilton i Eurofins Polska; rozrzut ofert bywa dwukrotny. Nie kupuj „pełnego panelu PPWR” za 10–15 tys. zł, jeśli opakowanie nie ma kontaktu z żywnością — najdroższy składnik takiego panelu to badanie PFAS, które w takim przypadku nie jest potrzebne.</w:t>
      </w:r>
    </w:p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7.8. Jak często powtarzać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PPWR nie podaje żadnej częstotliwości badań ani okresu ważności oświadczenia. To ustalenie negatywne i warto je znać, bo oszczędza pieniędzy: nie ma obowiązku badania per partia ani per rok. Obowiązek, który realnie z przepisów wynika, jest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zdarzeniowy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Oświadczenia dostawców z UE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odświeżaj raz w roku, najlepiej przy okazji negocjacji cenowych, gdzie kosztuje to zero.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Badanie laboratoryjne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raz na materiał i technologię. Powtarzaj tylko przy zmianie dostawcy, materiału, farby lub konstrukcji.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Dostawca chiński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oświadczenie i raport przy kwalifikacji, ponownie przy każdej zmianie fabryki; audyt dokumentów raz w roku.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Rejestr zmian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prowadź na bieżąco. To on dowodzi, że nadzór z zał. VII pkt 3 istnieje, i to jego brak jest przy kontroli najbardziej widoczny.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8. Rysunki techniczne — ile wystarczy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Załącznik VII pkt 2 lit. b) wymaga „projektu koncepcyjnego, rysunków technicznych oraz materiałów, z jakich wykonane są części składowe”. Lista jest jednak poprzedzona dwoma zastrzeżeniami: dokumentacja obejmuje projekt, wytwarzanie i działanie opakowania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„w stopniu odpowiednim dla takiej oceny”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i zawiera wymienione elementy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„w stosownych przypadkach… co najmniej”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Dla standardowego kartonu z katalogu nie ma cechy geometrycznej, której ocena zgodności z art. 5–12 wymagałaby rysunku konstrukcyjnego. Wymagane są wymiary, gatunek, masa i skład materiałowy.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Element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wpisać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Projekt koncepcyjny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Kod FEFCO — np. 0201 (Regular Slotted Container, najpopularniejszy karton klapowy na świecie). Kod FEFCO to międzynarodowy standard konstrukcji, przyjęty także przez ICCA; zastępuje długie opisy słowne jednoznacznym oznaczeniem.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Wymiary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Wewnętrzne i zewnętrzne L × W × H w mm, plus objętość wewnętrzna w dm³.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Materiał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Liczba warstw, typ fali, gramatura, udział makulatury.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Gramy, opakowanie kompletne.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Sposób zamknięcia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Joint klejony, zszywany albo taśmowany — istotne, bo klej i zszywki wchodzą do bilansu art. 5 ust. 4.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Rysunek z krojnika (dieline)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Jeżeli dostawca go ma — dołącz. Koszt zero, a usuwa cały spór.</w:t>
            </w: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Zastrzeżenie: ani wytyczne Komisji, ani FAQ nie odnoszą się do słowa „rysunki” ani do wymaganego poziomu szczegółowości. Powyższe jest wykładnią opartą na konstrukcji Modułu A, nie potwierdzonym stanowiskiem organu nadzoru.</w:t>
      </w:r>
    </w:p>
    <w:p>
      <w:pPr>
        <w:spacing w:after="15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Dane wymiarowe, które warto zbierać już teraz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Od 2030 r. maksymalny udział pustej przestrzeni w opakowaniu zbiorczym, transportowym i e-commerce wyniesie 50 %, a ocena minimalizacji z art. 10 będzie wymagać wykazania — dla każdego z ośmiu kryteriów załącznika IV — jaki wymóg projektowy uniemożliwia dalszą redukcję. Dane potrzebne do tych ocen zbiera się latami, a wstecz nie da się ich odtworzyć.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Per format kartonu: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wymiary wewnętrzne i zewnętrzne, objętość wewnętrzna, masa, gatunek i gramatura, kod FEFCO, ECT/BCT jeśli dostawca podaje.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Per indeks produktowy: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objętość opakowania sprzedażowego części, masa części, przypisanie indeksu do formatu kartonu, objętość używanego wypełniacza.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Per para indeks × format: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dane o uszkodzeniach transportowych. To najmocniejszy dowód na kryterium „ochrona produktu”, czyli argument, że mniejszego opakowania użyć się nie da.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Per proces: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zapis rozważonych i odrzuconych alternatyw z uzasadnieniem. Załącznik IV wymaga wprost, by zbadano wszystkie możliwości redukcji — samo zastąpienie jednego materiału innym nie wystarcza.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Dwa argumenty przestały działać: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akceptacja konsumenta i marketing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zostały usunięte z listy kryteriów uzasadniających większą masę i objętość opakowania. Nie da się już obronić większego kartonu tym, że lepiej wygląda.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9. Co zebrać od dostawcy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„Dostawcy przekazują wytwórcy wszystkie informacje i dokumentację niezbędne do wykazania przez wytwórcę zgodności opakowań i materiałów opakowaniowych z niniejszym rozporządzeniem, w tym dokumentację techniczną, o której mowa w załączniku VII […]”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Art. 16 ust. 1 rozporządzenia (UE) 2025/40</w:t>
            </w:r>
          </w:p>
        </w:tc>
      </w:tr>
    </w:tbl>
    <w:p>
      <w:pPr>
        <w:spacing w:after="13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To jest Twoje narzędzie negocjacyjne. Zwrot „w tym dokumentację techniczną, o której mowa w załączniku VII” oznacza, że prawo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zakłada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przekazywanie tej dokumentacji przez dostawcę wytwórcy. Nie musisz mierzyć tektury ani badać metali samodzielnie. Według wykładni Komisji dostawca nie może odmówić.</w:t>
      </w:r>
    </w:p>
    <w:p>
      <w:pPr>
        <w:spacing w:after="13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Lista od producenta opakowań z UE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Karta techniczna wyrobu: kod FEFCO, wymiary wewnętrzne i zewnętrzne, gatunek i gramatura tektury, liczba warstw, typ fali, masa jednostkowa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Oświadczenie o metalach ciężkich powołujące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art. 5 ust. 4 rozporządzenia (UE) 2025/40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, ze zdaniem o braku zamierzonego wprowadzania i ze wskazaniem podstawy twierdzenia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Deklaracja zgodności UE według załącznika VIII — jeżeli to dostawca jest wytwórcą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Numer rejestrowy dostawcy w rejestrze producentów (w Polsce: BDO)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Rysunek z krojnika w PDF lub CAD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Udział makulatury i dane o recyklowalności — przydadzą się od 2030 r., a zbieranie serii czasowej warto zacząć teraz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Zobowiązanie do notyfikacji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każdej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zmiany specyfikacji, tektury, farby lub kleju</w:t>
      </w:r>
    </w:p>
    <w:p>
      <w:pPr>
        <w:spacing w:after="13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Lista od dostawcy spoza UE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Masa pustego opakowania w gramach — bez tego nie rozliczysz sprawozdawczości EPR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Skład materiałowy wszystkich komponentów: tektura, farba, klej, taśma, zszywki, folia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Oświadczenie o sumie Pb + Cd + Hg + Cr(VI) poniżej 100 mg/kg i o braku zamierzonego wprowadzania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Raport z badań, jeżeli istnieje — sprawdzony według checklisty z rozdziału 7.6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Deklaracja zgodności producenta z kraju trzeciego, jeżeli to on jest wytwórcą (art. 18 ust. 2 lit. a)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Zdjęcia opakowania: z zewnątrz i otwartego</w:t>
      </w:r>
    </w:p>
    <w:p>
      <w:pPr>
        <w:spacing w:after="11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86EFAC" w:sz="4"/>
              <w:left w:val="single" w:color="86EFAC" w:sz="18"/>
              <w:bottom w:val="single" w:color="86EFAC" w:sz="4"/>
              <w:right w:val="single" w:color="86EFAC" w:sz="4"/>
            </w:tcBorders>
            <w:shd w:fill="F0FDF4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Wskazówka praktyczna, która znacząco podnosi skuteczność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pisz chińskiej fabryce o „art. 5 PPWR”. Napisz: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„heavy metal test according to EU Directive 94/62/EC”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. Tego terminu branża używa od dwudziestu lat, SGS i Bureau Veritas wykonują to badanie rutynowo, a jest spora szansa, że fabryka ma raport w szufladzie.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Wyślij gotowy formularz do wypełnienia zamiast opisowego zapytania. Krótki arkusz z żółtymi polami i jednym przykładowym wierszem ma wielokrotnie wyższą zwrotność niż mail z prośbą o „dokumentację zgodności”.</w:t>
            </w:r>
          </w:p>
        </w:tc>
      </w:tr>
    </w:tbl>
    <w:p>
      <w:pPr>
        <w:spacing w:after="13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Klauzule, które warto mieć w umowie lub zamówieniu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Obowiązek dostarczenia oświadczenia i dokumentacji w trybie art. 16 ust. 1 PPWR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przed pierwszą wysyłką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z konkretnym terminem.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Oświadczenie i gwarancja co do zgodności z art. 5 ust. 4 oraz co do zadeklarowanego składu materiałowego.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Obowiązek notyfikacji każdej zmiany specyfikacji lub receptury — bo to ta zmiana uruchamia Twój obowiązek ponownej oceny z art. 15 ust. 4.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Prawo zlecenia badania na koszt dostawcy w razie stwierdzenia niezgodności.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Zabezpieczenie dostępu do dokumentacji przez cały okres retencji — 5 lub 10 lat, także po zakończeniu współpracy.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Indemnifikacja obejmująca kary administracyjne i koszty wycofania towaru z rynku.</w:t>
      </w:r>
    </w:p>
    <w:p>
      <w:pPr>
        <w:spacing w:after="11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Uwaga o granicach tej ochrony: przejście statusu wytwórcy jest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publicznoprawne i nieodwracalne umową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 Organ zwróci się do Ciebie, nie do fabryki. Roszczenie wobec dostawcy pozostaje wyłącznie kontraktowe.</w:t>
      </w:r>
    </w:p>
    <w:p>
      <w:pPr>
        <w:spacing w:after="11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5E7EB" w:sz="4"/>
              <w:left w:val="single" w:color="E5E7EB" w:sz="18"/>
              <w:bottom w:val="single" w:color="E5E7EB" w:sz="4"/>
              <w:right w:val="single" w:color="E5E7EB" w:sz="4"/>
            </w:tcBorders>
            <w:shd w:fill="F9FAF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Nie żądaj więcej, niż potrzebujesz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Automatyczne żądanie pełnych plików technicznych, receptur i raportów per partia od każdego dostawcy opóźnia proces i psuje relację. Realistyczne minimum w standardowej relacji B2B to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jedno podpisane oświadczenie plus jedna karta techniczna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na typ wyrobu.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wpisuj też do własnej dokumentacji wartości liczbowych, których dostawca nie potwierdził. Napisanie „Pb = 0 mg/kg”, gdy potwierdzone jest tylko „limit spełniony”, to Twoja własna niezgodność.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10. Czego nie trzeba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Certyfikatu wydanego przez jednostkę zewnętrzną.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Takie pojęcie nie występuje w rozporządzeniu. Deklaracja zgodności jest oświadczeniem własnym wytwórcy.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Udziału jednostki notyfikowanej.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Moduł A to wewnętrzna kontrola produkcji. Punkt 7 wzoru deklaracji, dotyczący jednostki notyfikowanej, w praktyce pozostaje pusty.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Obowiązkowego badania laboratoryjnego.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Obowiązku badania nie ma — jest obowiązek udokumentowania zgodności.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Dokumentu w paczce wysyłanej do klienta.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Deklaracji nie wysyła się klientowi ani nie dołącza do przesyłki. Okazuje się ją organowi na uzasadnione żądanie.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Osobnego kompletu dokumentów dla każdego produktu.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Dokumentacja dotyczy typu opakowania, nie indeksu produktowego.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Badania PFAS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jeżeli opakowanie nie ma kontaktu z żywnością. Ograniczenie z art. 5 ust. 5 dotyczy wyłącznie opakowań do kontaktu z żywnością.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Zharmonizowanej etykiety składu materiałowego w 2026 r.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Ten obowiązek wchodzi 12 sierpnia 2028 r. albo 24 miesiące od wejścia w życie aktów wykonawczych — zależnie od tego, co nastąpi później. Opakowania transportowe są z niego zwolnione, z wyjątkiem opakowań e-commerce.</w:t>
      </w:r>
    </w:p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Czego natomiast żądają platformy sprzedażowe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Warto to rozgraniczyć, bo powszechnie się je myli. Podstawą jest art. 45 ust. 4 PPWR, który wyczerpująco wskazuje, czego platforma może żądać od sprzedawcy: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numeru rejestrowego w rejestrze producentów danego państwa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oraz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samocertyfikacji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że sprzedawca oferuje wyłącznie opakowania spełniające wymogi EPR w państwie konsumenta.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Nie ma tam deklaracji zgodności ani dokumentacji technicznej — i nie należy się tego spodziewać, dopóki nie zmieni się przepis. Praktyka Allegro, eBaya i Amazona to potwierdza: zbierają numery EPR per kraj i oświadczenie w formie zaznaczenia pola, nie dokumenty. Sankcją jest jednak ukrycie ofert albo dezaktywacja konta w danym kraju, a to działa szybciej niż jakakolwiek inspekcja.</w:t>
      </w:r>
    </w:p>
    <w:p>
      <w:pPr>
        <w:spacing w:after="150"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11. Errata — cztery poprawki do materiałów krążących po rynku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 trakcie weryfikacji tekstu autentycznego w Dzienniku Urzędowym UE ujawniły się cztery rozbieżności, które powtarzają się także w opracowaniach komercyjnych i w narzędziach compliance. Warto je znać, zanim oprzesz na nich dokument.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Twierdzenie krążące po rynku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Jak jest w tekście Dziennika Urzędowego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„Załącznik VII to lista elementów dokumentacji technicznej”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Załącznik VII to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procedura oceny zgodności — Moduł A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o strukturze punktów 1–5. Lista zawartości dokumentacji to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pkt 2, litery a)–f)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przy czym litera d) ma podpunkty (i)–(v). Prawidłowe powołanie brzmi np. „załącznik VII pkt 2 lit. d) ppkt (v)”.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„Załącznik VIII wymaga dziesięciu elementów”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Wzór deklaracji ma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osiem punktów numerowanych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plus nienumerowany blok podpisu.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„Punkt 5 deklaracji to oświadczenie o zgodności z art. 5–12 PPWR”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Punkt 5 dotyczy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innych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aktów prawa Unii („odniesienie do innych zastosowanych aktów Unii”). Stwierdzenie zgodności z art. 5–12 wynika z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art. 39 ust. 1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nie ze wzoru załącznika VIII.</w:t>
            </w:r>
          </w:p>
        </w:tc>
      </w:tr>
      <w:tr>
        <w:trPr>
          <w:tblHeader w:val="false"/>
        </w:trPr>
        <w:tc>
          <w:tcPr>
            <w:tcW w:type="dxa" w:w="2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„Załącznik VIII wymaga zdjęcia opakowania”</w:t>
            </w:r>
          </w:p>
        </w:tc>
        <w:tc>
          <w:tcPr>
            <w:tcW w:type="dxa" w:w="6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wymaga. Punkt 4 wymaga identyfikacji opakowania umożliwiającej jego identyfikowalność, a punkt 1 — jednoznacznego identyfikatora, którym według wykładni Komisji jest typ, partia albo numer seryjny. Zdjęcie jest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dobrą praktyką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nie wymogiem.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5E7EB" w:sz="4"/>
              <w:left w:val="single" w:color="E5E7EB" w:sz="18"/>
              <w:bottom w:val="single" w:color="E5E7EB" w:sz="4"/>
              <w:right w:val="single" w:color="E5E7EB" w:sz="4"/>
            </w:tcBorders>
            <w:shd w:fill="F9FAF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Dwie dodatkowe rozbieżności, tym razem w samym tekście rozporządzenia — nie w jego omówieniach. Derogacja mikroprzedsiębiorstwa pojawia się w trzech miejscach z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niespójnym kryterium geograficznym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: art. 3 ust. 1 pkt 13 lit. b) wymaga, by dostawca miał siedzibę w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tym samym państwie członkowskim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a art. 15 ust. 12 i art. 21 akapit drugi mówią o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Unii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. Rozbieżność występuje zarówno w wersji angielskiej, jak i polskiej. Do czasu wyjaśnienia bezpieczniej przyjmować wykładnię węższą.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12. Harmonogram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5326"/>
        <w:gridCol w:w="2100"/>
      </w:tblGrid>
      <w:tr>
        <w:trPr>
          <w:tblHeader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Termin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wchodzi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Znaczenie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12.08.2026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Dokumentacja techniczna i deklaracja zgodności dla każdego typu opakowania. Limit metali ciężkich. Limity PFAS w opakowaniach do kontaktu z żywnością. Identyfikator typu/partii oraz nazwa i adres wytwórcy na opakowaniu. Obowiązki importera. Rejestracja EPR i przedstawiciel w państwach sprzedaży bezpośredniej.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Obowiązuje. Wymaga działania natychmiast.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12.02.2027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Państwa członkowskie mają ustanowić sankcje (art. 68).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Moment, od którego kary stają się realne.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12.08.2028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Zharmonizowana etykieta składu materiałowego (art. 12 ust. 1) — albo 24 miesiące od wejścia w życie aktów wykonawczych, zależnie od tego, co później. Opakowania transportowe zwolnione, e-commerce nie.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Zmiana nadruku — planować od 2027.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12.02.2029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Etykieta „reusable” i kod QR na opakowaniach wielokrotnego użytku.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Dotyczy tylko opakowań zwrotnych.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31.12.2029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Koniec reżimu przejściowego dla oceny minimalizacji według EN 13428:2004.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 tej daty stara norma daje domniemanie zgodności.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01.01.2030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Kryteria recyklowalności (art. 6). Minimalny udział recyklatu w tworzywach (art. 7). Minimalizacja według art. 10 i załącznika IV. Maksymalnie 50 % pustej przestrzeni (art. 24). Cele ponownego użycia opakowań transportowych (art. 29).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Największa zmiana operacyjna. Dane zbierać od dziś.</w:t>
            </w:r>
          </w:p>
        </w:tc>
      </w:tr>
      <w:tr>
        <w:trPr>
          <w:tblHeader w:val="false"/>
        </w:trPr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01.01.2038</w:t>
            </w:r>
          </w:p>
        </w:tc>
        <w:tc>
          <w:tcPr>
            <w:tcW w:type="dxa" w:w="5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 rynku pozostają wyłącznie klasy recyklowalności A i B.</w:t>
            </w:r>
          </w:p>
        </w:tc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Horyzont strategiczny.</w:t>
            </w:r>
          </w:p>
        </w:tc>
      </w:tr>
    </w:tbl>
    <w:p>
      <w:pPr>
        <w:spacing w:after="13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86EFAC" w:sz="4"/>
              <w:left w:val="single" w:color="86EFAC" w:sz="18"/>
              <w:bottom w:val="single" w:color="86EFAC" w:sz="4"/>
              <w:right w:val="single" w:color="86EFAC" w:sz="4"/>
            </w:tcBorders>
            <w:shd w:fill="F0FDF4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Dobra wiadomość na koniec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Zapasy wyprodukowane przed 12 sierpnia 2026 r., ale jeszcze nie wprowadzone do obrotu,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nie muszą być niszczone, przetwarzane ani przeetykietowane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— brakujące oznaczenia można uzupełnić dokumentem towarzyszącym.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Opakowania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wprowadzone do obrotu przed 12 sierpnia 2026 r.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mogą pozostać na rynku, nawet jeżeli nie spełniają wymogów PPWR.</w:t>
            </w:r>
          </w:p>
        </w:tc>
      </w:tr>
    </w:tbl>
    <w:p>
      <w:pPr>
        <w:spacing w:after="20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Zastrzeżenie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Opracowanie ma charakter informacyjny i nie stanowi porady prawnej. Odpowiedzialność za treść dokumentacji technicznej i deklaracji zgodności ponosi wytwórca opakowania (art. 39 ust. 4 rozporządzenia (UE) 2025/40). Stan prawny na 19 sierpnia 2026 r. Polska ustawa wdrożeniowa (projekt UC100) nie została uchwalona — po jej wejściu w życie mogą zmienić się organy nadzoru, konstrukcja kar oraz status krajowych przepisów metodycznych, w tym rozporządzenia Ministra Środowiska z 21 stycznia 2015 r. Przy opakowaniach wielomateriałowych, opakowaniach do kontaktu z żywnością, obiegach zamkniętych oraz przy wątpliwościach co do tego, kto jest wytwórcą, warto potwierdzić kwalifikację z kancelarią.</w:t>
      </w:r>
    </w:p>
    <w:p>
      <w:pPr>
        <w:spacing w:after="13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Podstawa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Rozporządzenie Parlamentu Europejskiego i Rady (UE) 2025/40 z dnia 19 grudnia 2024 r. w sprawie opakowań i odpadów opakowaniowych, zmieniające rozporządzenie (UE) 2019/1020 i dyrektywę (UE) 2019/904 oraz uchylające dyrektywę 94/62/WE — w szczególności art. 3, 5, 6, 10, 12, 15, 16, 18, 19, 21, 22, 24, 29, 38, 39, 44, 45, 70, 71 oraz załączniki I, II, IV, VII i VIII. Komunikat Komisji — wytyczne do rozporządzenia (UE) 2025/40 oraz FAQ Komisji (DG ENV). Decyzje Komisji 2001/171/WE i 2009/292/WE. Raport CEN CR 13695-1:2000 (PKN-CEN/CR 13695-1:2005). Rozporządzenie Ministra Środowiska z 21 stycznia 2015 r. w sprawie zawartości ołowiu, kadmu, rtęci i chromu sześciowartościowego w opakowaniach (Dz.U. 2015 poz. 170). Ustawa z 13 czerwca 2013 r. o gospodarce opakowaniami i odpadami opakowaniowymi.</w:t>
      </w:r>
    </w:p>
    <w:p>
      <w:pPr>
        <w:spacing w:after="160"/>
      </w:pPr>
    </w:p>
    <w:p>
      <w:r>
        <w:br w:type="page"/>
      </w:r>
    </w:p>
    <w:p>
      <w:r>
        <w:rPr>
          <w:rFonts w:ascii="Arial" w:hAnsi="Arial" w:cs="Arial"/>
          <w:b/>
          <w:i w:val="0"/>
          <w:color w:val="0D0B14"/>
          <w:sz w:val="28"/>
        </w:rPr>
        <w:t>Kim jesteśmy</w:t>
      </w:r>
    </w:p>
    <w:p>
      <w:r>
        <w:rPr>
          <w:rFonts w:ascii="Arial" w:hAnsi="Arial" w:cs="Arial"/>
          <w:b w:val="0"/>
          <w:i w:val="0"/>
          <w:color w:val="1A1A1A"/>
          <w:sz w:val="22"/>
        </w:rPr>
        <w:t>Just Improve P.S.A. — doradztwo regulacyjne i operacyjne dla firm handlowych i e-commerce. Pomagamy przejść przez PPWR od początku do końca: ustalić, kto jest wytwórcą, policzyć masy opakowań, przygotować dokumentację i deklaracje oraz zarejestrować się w krajach, do których sprzedajecie.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/>
          <w:i w:val="0"/>
          <w:color w:val="1A1A1A"/>
          <w:sz w:val="22"/>
        </w:rPr>
        <w:t>Darmowy generator dokumentacji i deklaracji: justimprove.eu/ppwr/generator-dokumentow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 w:val="0"/>
          <w:i w:val="0"/>
          <w:color w:val="1A1A1A"/>
          <w:sz w:val="22"/>
        </w:rPr>
        <w:t>Cały pakiet materiałów do pobrania: justimprove.eu/ppwr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 w:val="0"/>
          <w:i w:val="0"/>
          <w:color w:val="1A1A1A"/>
          <w:sz w:val="22"/>
        </w:rPr>
        <w:t>Pytania, wycena wdrożenia, nietypowa sytuacja: kontakt@justimprove.eu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 w:val="0"/>
          <w:i w:val="0"/>
          <w:color w:val="1A1A1A"/>
          <w:sz w:val="22"/>
        </w:rPr>
        <w:t>Materiały udostępniamy bezpłatnie i bez zapisów. Jeżeli okażą się przydatne — najbardziej pomoże nam, jeśli podacie je dalej.</w:t>
      </w:r>
    </w:p>
    <w:p>
      <w:r>
        <w:rPr>
          <w:rFonts w:ascii="Arial" w:hAnsi="Arial" w:cs="Arial"/>
          <w:b w:val="0"/>
          <w:i w:val="0"/>
          <w:color w:val="6B7280"/>
          <w:sz w:val="18"/>
        </w:rPr>
        <w:t>Opracowanie ma charakter informacyjny i nie stanowi porady prawnej. Odpowiedzialność za treść dokumentacji technicznej i deklaracji zgodności ponosi wytwórca opakowania (art. 39 ust. 4 rozporządzenia (UE) 2025/40). Stan prawny: 22 sierpnia 2026 r.</w:t>
      </w:r>
    </w:p>
    <w:p>
      <w:r>
        <w:rPr>
          <w:rFonts w:ascii="Arial" w:hAnsi="Arial" w:cs="Arial"/>
          <w:b w:val="0"/>
          <w:i w:val="0"/>
          <w:color w:val="6B7280"/>
          <w:sz w:val="18"/>
        </w:rPr>
        <w:t>Just Improve P.S.A.  ·  justimprove.eu/ppwr  ·  kontakt@justimprove.eu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180520"/>
      </w:tabs>
    </w:pPr>
    <w:r>
      <w:rPr>
        <w:rFonts w:ascii="Arial" w:cs="Arial" w:eastAsia="Arial" w:hAnsi="Arial"/>
        <w:color w:val="6B7280"/>
        <w:sz w:val="18"/>
        <w:szCs w:val="18"/>
      </w:rPr>
      <w:t>justimprove.eu/ppwr</w:t>
    </w:r>
    <w:r>
      <w:rPr>
        <w:rFonts w:ascii="Arial" w:cs="Arial" w:eastAsia="Arial" w:hAnsi="Arial"/>
        <w:color w:val="6B7280"/>
        <w:sz w:val="18"/>
        <w:szCs w:val="18"/>
      </w:rPr>
      <w:t xml:space="preserve">	Strona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7280"/>
        <w:sz w:val="18"/>
        <w:szCs w:val="18"/>
      </w:rPr>
      <w:t xml:space="preserve"> z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8B5CF6" w:sz="6" w:space="4"/>
      </w:pBdr>
      <w:tabs>
        <w:tab w:val="right" w:pos="180520"/>
      </w:tabs>
    </w:pPr>
    <w:r>
      <w:rPr>
        <w:rFonts w:ascii="Arial" w:cs="Arial" w:eastAsia="Arial" w:hAnsi="Arial"/>
        <w:b/>
        <w:bCs/>
        <w:color w:val="6B7280"/>
        <w:sz w:val="18"/>
        <w:szCs w:val="18"/>
      </w:rPr>
      <w:t xml:space="preserve">Just Improve</w:t>
    </w:r>
    <w:r>
      <w:rPr>
        <w:rFonts w:ascii="Arial" w:cs="Arial" w:eastAsia="Arial" w:hAnsi="Arial"/>
        <w:color w:val="6B7280"/>
        <w:sz w:val="18"/>
        <w:szCs w:val="18"/>
      </w:rPr>
      <w:t xml:space="preserve">	Dokumentacja opakowań pod PPWR — przewodnik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20" w:hanging="260"/>
      </w:pPr>
    </w:lvl>
    <w:lvl w:ilvl="1" w15:tentative="1">
      <w:start w:val="1"/>
      <w:numFmt w:val="lowerLetter"/>
      <w:lvlText w:val="%2)"/>
      <w:lvlJc w:val="start"/>
      <w:pPr>
        <w:ind w:left="8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a8e214997c77f5f99d265e13f436dad703ca4660.png"/><Relationship Id="rId12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2026-08-19T15:52:20.062Z</dcterms:created>
  <dcterms:modified xsi:type="dcterms:W3CDTF">2026-08-19T15:52:20.062Z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