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</w:pPr>
      <w:r>
        <w:drawing>
          <wp:inline distT="0" distB="0" distL="0" distR="0">
            <wp:extent cx="1428750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1800"/>
      </w:pPr>
      <w:r>
        <w:rPr>
          <w:rFonts w:ascii="Arial" w:cs="Arial" w:eastAsia="Arial" w:hAnsi="Arial"/>
          <w:b/>
          <w:bCs/>
          <w:smallCaps/>
          <w:color w:val="8B5CF6"/>
        </w:rPr>
        <w:t xml:space="preserve">WZÓR DOKUMENTU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0D0B14"/>
          <w:sz w:val="52"/>
          <w:szCs w:val="52"/>
        </w:rPr>
        <w:t xml:space="preserve">Dokumentacja techniczna opakowania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0D0B14"/>
          <w:sz w:val="32"/>
          <w:szCs w:val="32"/>
        </w:rPr>
        <w:t xml:space="preserve">Załącznik VII (Moduł A) do rozporządzenia (UE) 2025/40 — PPWR</w:t>
      </w:r>
    </w:p>
    <w:p>
      <w:pPr>
        <w:spacing w:after="60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Formularz do wypełnienia  ·  jeden plik = jeden typ opakowania</w:t>
      </w:r>
    </w:p>
    <w:p>
      <w:pPr>
        <w:spacing w:after="800"/>
      </w:pPr>
      <w:r>
        <w:rPr>
          <w:rFonts w:ascii="Arial" w:cs="Arial" w:eastAsia="Arial" w:hAnsi="Arial"/>
          <w:color w:val="6B7280"/>
          <w:sz w:val="26"/>
          <w:szCs w:val="26"/>
        </w:rPr>
        <w:t xml:space="preserve">Just Improve P.S.A.  ·  19 sierpnia 2026  ·  wersja 1.0</w:t>
      </w:r>
    </w:p>
    <w:p>
      <w:pPr>
        <w:spacing w:after="800"/>
      </w:pPr>
      <w:r>
        <w:rPr>
          <w:rFonts w:ascii="Arial" w:hAnsi="Arial" w:cs="Arial"/>
          <w:b w:val="0"/>
          <w:color w:val="6B7280"/>
          <w:sz w:val="20"/>
        </w:rPr>
        <w:t>justimprove.eu/ppwr  ·  kontakt@justimprove.eu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Spis treści</w:t>
      </w:r>
    </w:p>
    <w:sdt>
      <w:sdtPr>
        <w:alias w:val="Spis treści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Jak korzystać z tego wzoru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Ten plik jest formularzem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dokumentacji technicznej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opakowania — dokumentu wymaganego przez art. 15 ust. 2 rozporządzenia (UE) 2025/40 (PPWR) i sporządzanego według procedury z załącznika VII (Moduł A — wewnętrzna kontrola produkcji). Obowiązuje od 12 sierpnia 2026 r.</w:t>
      </w:r>
    </w:p>
    <w:p>
      <w:pPr>
        <w:spacing w:after="150" w:before="0"/>
      </w:pPr>
      <w:r>
        <w:rPr>
          <w:rFonts w:ascii="Arial" w:hAnsi="Arial" w:cs="Arial"/>
          <w:b/>
          <w:color w:val="8B5CF6"/>
          <w:sz w:val="20"/>
        </w:rPr>
        <w:t>Ten sam formularz wypełnisz szybciej online — generator prowadzi przez pola i liczy bilanse za Ciebie: justimprove.eu/ppwr/generator-dokumentow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Dokumentacja techniczna to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nie to samo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co deklaracja zgodności UE. Deklaracja (załącznik VIII) jest jednostronicowym oświadczeniem, które podpisujesz. Dokumentacja techniczna to teczka, na której to oświadczenie się opiera — i to ona jest przedmiotem kontroli. Deklarację wystawia się na podstawie tej teczki, przechowuje razem z nią i okazuje organowi w ciągu 10 dni od uzasadnionego żądania.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18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Trzy zasady, które decydują o tym, ile plików potrzebujesz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1. Jeden plik = jedna jednostka opakowaniowa, nie jeden materiał.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Karton wysyłkowy razem z taśmą, etykietą, wkładką i wypełniaczem to jedna jednostka — jeden plik, z tabelą komponentów w środku. Komisja Europejska potwierdza to wprost: ocenę zgodności i deklarację sporządza się „for the entire packaging unit… including all integrated and separate components” (FAQ KE, rozdz. XV pyt. 5).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2. Osobne pliki dla zupełnie innych formatów.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Paleta, folia stretch, taśma spinająca i skrzynka zwrotna to odrębne formaty opakowaniowe — każdy wymaga własnej oceny i własnej deklaracji (FAQ KE, rozdz. XV pyt. 12). Nie wciągaj palety do pliku kartonu.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3. Ten sam karton w wielu rozmiarach — jedna dokumentacja wystarczy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, o ile różnica rozmiaru nie wpływa na spełnienie żadnego z wymogów art. 5–12 (FAQ KE, rozdz. XV pyt. 11). Wpisz wtedy w sekcji 1 wszystkie objęte indeksy i wymiary. Od 2030 r., gdy wejdzie ocena minimalizacji zależna od pakowanego produktu, granulację trzeba będzie zawęzić.</w:t>
            </w:r>
          </w:p>
        </w:tc>
      </w:tr>
    </w:tbl>
    <w:p>
      <w:pPr>
        <w:spacing w:after="16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Pola i oznaczenia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6926"/>
      </w:tblGrid>
      <w:tr>
        <w:trPr>
          <w:tblHeader/>
        </w:trPr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Oznaczenie</w:t>
            </w:r>
          </w:p>
        </w:tc>
        <w:tc>
          <w:tcPr>
            <w:tcW w:type="dxa" w:w="6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Znaczenie</w:t>
            </w:r>
          </w:p>
        </w:tc>
      </w:tr>
      <w:tr>
        <w:trPr>
          <w:tblHeader w:val="false"/>
        </w:trPr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jasnofioletowe pole</w:t>
            </w:r>
          </w:p>
        </w:tc>
        <w:tc>
          <w:tcPr>
            <w:tcW w:type="dxa" w:w="6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 uzupełnienia. Nie usuwaj pola, którego nie umiesz wypełnić — wpisz „brak danych” i przejdź do sekcji 9, gdzie planujesz uzupełnienie. Puste pole bez adnotacji to jedyny wariant wprost niezgodny z rozporządzeniem.</w:t>
            </w:r>
          </w:p>
        </w:tc>
      </w:tr>
      <w:tr>
        <w:trPr>
          <w:tblHeader w:val="false"/>
        </w:trPr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kursywa szara</w:t>
            </w:r>
          </w:p>
        </w:tc>
        <w:tc>
          <w:tcPr>
            <w:tcW w:type="dxa" w:w="6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Podpowiedź — usuń po wypełnieniu.</w:t>
            </w:r>
          </w:p>
        </w:tc>
      </w:tr>
      <w:tr>
        <w:trPr>
          <w:tblHeader w:val="false"/>
        </w:trPr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[ nawiasy ]</w:t>
            </w:r>
          </w:p>
        </w:tc>
        <w:tc>
          <w:tcPr>
            <w:tcW w:type="dxa" w:w="6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Miejsce na dane. Zastąp treścią.</w:t>
            </w:r>
          </w:p>
        </w:tc>
      </w:tr>
      <w:tr>
        <w:trPr>
          <w:tblHeader w:val="false"/>
        </w:trPr>
        <w:tc>
          <w:tcPr>
            <w:tcW w:type="dxa" w:w="2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n/d</w:t>
            </w:r>
          </w:p>
        </w:tc>
        <w:tc>
          <w:tcPr>
            <w:tcW w:type="dxa" w:w="6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dotyczy. Wpisuj świadomie i z jednozdaniowym uzasadnieniem — sam skrót bez powodu wygląda przy kontroli jak przeoczenie.</w:t>
            </w:r>
          </w:p>
        </w:tc>
      </w:tr>
    </w:tbl>
    <w:p>
      <w:pPr>
        <w:spacing w:after="16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Wzór zawiera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wszystkie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elementy wyliczone w załączniku VII pkt 2 lit. a)–f). Rozporządzenie poprzedza tę listę zwrotem „w stosownych przypadkach… co najmniej” — czyli element, który dla danego opakowania nie ma znaczenia, może zostać opisany krótko, ale sekcja musi w dokumencie zostać i musi być rozstrzygnięta.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Czego ten wzór nie zastępuje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Deklaracji zgodności UE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(art. 39, zał. VIII) — osobny, jednostronicowy dokument, podpisywany. Sekcja 10 tego formularza łączy jedno z drugim.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Sprawozdawczości EPR / BDO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— to odrębny system (art. 44–47 PPWR i prawo krajowe). Dokumentacja techniczna nie zwalnia z rejestracji i opłat, a rejestracja nie zwalnia z dokumentacji.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Danych na samym opakowaniu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(art. 15 ust. 5 i 6) — numer typu/partii oraz nazwa i adres wytwórcy. Sekcja 1 służy do udokumentowania, że to zrobiłeś, ale nadruk trzeba wykonać fizycznie.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Dokumentacja techniczna opakowania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Sporządzona zgodnie z art. 15 ust. 2 i art. 38 rozporządzenia Parlamentu Europejskiego i Rady (UE) 2025/40 oraz procedurą oceny zgodności określoną w załączniku VII do tego rozporządzenia (Moduł A — wewnętrzna kontrola produkcji).</w:t>
      </w: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Metryka dokumentu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Numer dokumentacji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PPWR-TD-KART-001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Wersja / rewizja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1.0 — każda zmiana materiału wymaga nowej rewizji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Data sporządzenia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dzień, miesiąc, rok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Data ostatniej aktualizacji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Sporządził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imię, nazwisko, stanowisko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Zatwierdził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osoba upoważniona do reprezentacji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Powiązana deklaracja zgodności UE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numer i data — patrz sekcja 10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Status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projekt / obowiązująca / wycofana</w:t>
            </w:r>
          </w:p>
        </w:tc>
      </w:tr>
    </w:tbl>
    <w:p>
      <w:pPr>
        <w:spacing w:after="14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Podmiot sporządzający i jego rola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Nazwa podmiotu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pełna nazwa rejestrowa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Adres pocztowy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pojedynczy punkt kontaktu — art. 15 ust. 6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NIP / numer rejestrowy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Kontakt elektroniczny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e-mail, telefon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Numer w rejestrze producentów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w Polsce: numer BDO — art. 44 PPWR</w:t>
            </w: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Rola wobec tego opakowania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zaznacz jedną. Od tego zależy, czy sporządzasz tę dokumentację, czy tylko zbierasz ją od kogoś innego.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Wytwórca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— art. 3 ust. 1 pkt 13 PPWR. Wytwarzam opakowanie albo zlecam jego zaprojektowanie lub wykonanie pod własną nazwą lub znakiem towarowym. Także: nadaję własną specyfikację (wymiary, gatunek tektury), nawet bez logo. Sporządzam pełną dokumentację i wystawiam deklarację zgodności.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Importer traktowany jak wytwórca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— art. 21 akapit pierwszy. Wprowadzam opakowanie z kraju trzeciego pod własną nazwą lub znakiem towarowym albo modyfikuję opakowanie już wprowadzone do obrotu w sposób mogący wpłynąć na zgodność. Obowiązki jak u wytwórcy (art. 15).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Importer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— art. 3 ust. 1 pkt 17 i art. 18. Wprowadzam do obrotu opakowanie z kraju trzeciego, ale nie pod własną marką i bez własnej specyfikacji. Nie sporządzam dokumentacji — zapewniam, że wytwórca ją sporządził, przechowuję kopię deklaracji zgodności i zapewniam dostępność dokumentacji organom (5 lat / 10 lat). Ten formularz wypełniam w zakresie sekcji 1, 3, 4 i 11 jako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teczkę weryfikacyjną importera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Dystrybutor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— art. 3 ust. 1 pkt 18 i art. 19. Udostępniam na rynku opakowanie kupione w UE, bez własnej marki i bez własnej specyfikacji. Weryfikuję trzy rzeczy (rejestracja producenta w rejestrze z art. 44, etykietowanie z art. 12, oznaczenia z art. 15 ust. 5 i 6) i przechowuję dane dostawcy (art. 22). Ten formularz służy jako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rejestr zebranych dokumentów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— sekcje 1, 3 i 11.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Uwaga, która przesądza sprawę najczęściej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Wystarczy, że karton nosi Twoje logo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albo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że podałeś dostawcy wymiary i gatunek tektury — i jesteś wytwórcą w rozumieniu PPWR, z pełnym zakresem obowiązków art. 15. Przepis mówi wprost: „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regardless of whether any other trademark is visible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”, więc znak tekturnicy na kartonie niczego nie zmienia (art. 3 ust. 1 pkt 13 lit. a).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Naklejka adresowa naklejana przy pakowaniu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nie jest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brandingiem i sama z siebie nie czyni Cię wytwórcą.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1. Opis ogólny opakowania i jego przeznaczenie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Załącznik VII pkt 2 lit. a): „ogólny opis opakowania oraz jego przeznaczenie”.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Kod / nazwa typu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wewnętrzne oznaczenie, np. KART-001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Objęte indeksy / SKU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jeżeli jedna dokumentacja pokrywa rodzinę rozmiarów — wypisz wszystkie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Nazwa handlowa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karton klapowy wysyłkowy 400×300×200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Kategoria wg PPWR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sprzedażowe (art. 3 ust. 1 pkt 5) / zbiorcze (pkt 6) / transportowe (pkt 7) / e-commerce (pkt 8) / do pierwotnej produkcji / służące (service)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Jednorazowe czy wielokrotnego użytku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decyduje o retencji: 5 lat / 10 lat — art. 15 ust. 3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Przeznaczenie — jakie produkty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grupa produktowa, masa i gabaryt pakowanej zawartości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Kanał sprzedaży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B2C online / B2B hurt / sprzedaż stacjonarna — wpływa na obowiązek etykiety z art. 12 i na kwalifikację kategorii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Rynki wprowadzenia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państwa członkowskie, w których opakowanie jest wprowadzane do obrotu lub udostępniane — decyduje o języku deklaracji (art. 39 ust. 2)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Wolumen roczny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liczba sztuk i łączna masa — potrzebne do sprawozdawczości EPR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Kategoria — dlaczego trzeba ją rozstrzygnąć świadomie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Kategoria decyduje o tym, kto jest wytwórcą tego samego kartonu. Wytyczne Komisji rozgałęziają regułę: dla opakowań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sprzedażowych i zbiorczych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wytwórcą jest zwykle ten, kto je napełnia i sprzedaje produkt (czyli Ty), a dla opakowań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transportowych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ten, kto je fizycznie wytwarza, „unless such packaging is clearly branded by the user”. Ten sam gładki karton 0201 może więc mieć różnego wytwórcę w zależności od tego, jak go używasz. Sklasyfikuj kategorię per format i zapisz to tutaj.</w:t>
      </w:r>
    </w:p>
    <w:p>
      <w:pPr>
        <w:spacing w:after="12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Oznaczenia na opakowaniu — art. 15 ust. 5 i 6 (obowiązek od 12.08.2026)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Identyfikator typu / partii / serii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art. 15 ust. 5 — co konkretnie i gdzie umieszczone; przy braku miejsca dopuszczalny dokument towarzyszący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Nazwa i adres wytwórcy — sposób naniesienia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art. 15 ust. 6 — nadruk / naklejka magazynowa / kod QR lub inny nośnik danych / dokument towarzyszący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Kontakt elektroniczny na opakowaniu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o ile dostępny — art. 15 ust. 6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Oznaczenie importera (jeżeli dotyczy)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art. 18 ust. 3 — nazwa, znak i adres; dla opakowań generycznych dopuszczalny dokument przewozowy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Etykieta składu materiałowego z art. 12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obowiązek od 12.08.2028 (lub 24 mies. od aktów wykonawczych — data późniejsza). Opakowanie transportowe jest zwolnione, ale opakowanie e-commerce NIE. Wpisz: n/d w 2026 / planowane od…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Rozpowszechniony błąd: „dane wytwórcy na opakowaniu obowiązują od 2028 r.”. To pomylenie art. 15 z art. 12.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Nazwa i adres wytwórcy oraz identyfikator typu/partii obowiązują od 12 sierpnia 2026 r.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Od 12 sierpnia 2028 r. dochodzi dopiero zharmonizowana etykieta składu materiałowego. Art. 15 ust. 6 dopuszcza jednak umieszczenie danych w kodzie QR albo innym nośniku danych — to pozwala uniknąć przeprojektowania nadruku.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2. Konstrukcja, wymiary i rysunki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Załącznik VII pkt 2 lit. b): „projekt koncepcyjny, rysunki techniczne oraz materiały, z jakich wykonane są części składowe”; lit. c): „opisy i wyjaśnienia niezbędne do zrozumienia rysunków… oraz schematów i działania opakowania”.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Typ konstrukcji / kod FEFCO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FEFCO 0201 (Regular Slotted Container). Kod FEFCO jest międzynarodowym, formalnym odwzorowaniem konstrukcji i pełni funkcję „projektu koncepcyjnego”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Wymiary wewnętrzne L × W × H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mm — obowiązkowo, to podstawa obliczenia objętości i wskaźnika pustej przestrzeni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Wymiary zewnętrzne L × W × H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mm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Objętość wewnętrzna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dm³ — wyliczona z wymiarów wewnętrznych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Masa jednostkowa całej jednostki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gramy, opakowanie puste, z taśmą i etykietą — to jest liczba, na której opiera się i art. 5 ust. 4, i sprawozdawczość EPR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Gatunek i gramatura materiału głównego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tektura falista 3-warstwowa, fala B, 620 g/m², udział makulatury ok. 80%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Sposób zamknięcia / manufacturer's joint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klejony / zszywany / taśmowany — istotne, bo klej i zszywki wchodzą do bilansu art. 5 ust. 4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Parametry wytrzymałościowe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ECT / BCT, jeżeli dostawca podaje — przyda się jako dowód kryterium „ochrona produktu” przy ocenie minimalizacji</w:t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Opis konstrukcji i działania — lit. c)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4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0D0B14"/>
                <w:sz w:val="19"/>
                <w:szCs w:val="19"/>
              </w:rPr>
              <w:t xml:space="preserve">Opisz własnymi słowami: jak opakowanie jest składane i zamykane, jak produkt jest w nim ułożony, które komponenty są zintegrowane na stałe, a które da się oddzielić bez narzędzi, oraz jak opakowanie jest otwierane przez odbiorcę.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17"/>
                <w:szCs w:val="17"/>
              </w:rPr>
              <w:t xml:space="preserve">3–6 zdań. Ta sekcja istnieje po to, żeby kontrolujący zrozumiał rysunek i schemat bez dzwonienia do Ciebie.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Załączniki graficzne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Rysunek z krojnika (dieline) od dostawcy — PDF lub CAD. Jeżeli dostawca go ma, dołącz: koszt zero, a usuwa cały spór o to, czy „rysunek techniczny” istnieje.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Zdjęcie opakowania złożonego, z zewnątrz.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Zdjęcie opakowania otwartego, z produktem w środku — dokumentuje sposób ułożenia i wypełnienia.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Zdjęcie nadruku z danymi wytwórcy (art. 15 ust. 6) i identyfikatorem typu/partii (art. 15 ust. 5).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5E7EB" w:sz="4"/>
              <w:left w:val="single" w:color="E5E7EB" w:sz="18"/>
              <w:bottom w:val="single" w:color="E5E7EB" w:sz="4"/>
              <w:right w:val="single" w:color="E5E7EB" w:sz="4"/>
            </w:tcBorders>
            <w:shd w:fill="F9FAF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Czy rysunek techniczny jest bezwzględnie obowiązkowy?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w każdym przypadku. Załącznik VII pkt 2 poprzedza listę dwoma zastrzeżeniami: dokumentacja obejmuje projekt, wytwarzanie i działanie opakowania „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 stopniu odpowiednim dla takiej oceny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” i zawiera wymienione elementy „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 stosownych przypadkach… co najmniej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”. Dla standardowego kartonu katalogowego nie ma cechy geometrycznej, której ocena art. 5–12 wymagałaby rysunku konstrukcyjnego — wymagane są wymiary, gatunek, masa i skład materiałowy.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Obronny zestaw minimalny: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kod FEFCO + wymiary wewnętrzne i zewnętrzne + gatunek i gramatura + masa + karta techniczna dostawcy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. Jeżeli dostawca ma dieline — dołącz go i temat znika.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Zastrzeżenie uczciwe: ani wytyczne Komisji, ani FAQ nie odnoszą się do słowa „rysunki” ani do wymaganego poziomu szczegółowości. Powyższe jest wykładnią opartą na konstrukcji Modułu A, nie potwierdzonym stanowiskiem organu.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3. Skład materiałowy — tabela komponentów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Rdzeń całej dokumentacji. Załącznik VII pkt 2 lit. b) wymaga wskazania materiałów, z jakich wykonane są części składowe. Na tej tabeli opierają się: bilans metali ciężkich z art. 5 ust. 4, masa raportowana w systemie EPR, test opakowania kompozytowego i przyszła ocena recyklowalności.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Wypełnij wiersz dla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każdego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elementu, który zostaje na opakowaniu albo jest z nim wyrzucany. Wiersze przykładowe usuń lub nadpisz.</w:t>
      </w:r>
    </w:p>
    <w:p>
      <w:pPr>
        <w:spacing w:after="150" w:before="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INT / SEP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komponent zintegrowany (pozostaje połączony z korpusem) albo osobny (można go oddzielić bez narzędzi). Art. 6 ust. 9 PPWR wymaga osobnej oceny komponentów, które dają się rozdzielić.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"/>
        <w:gridCol w:w="1180"/>
        <w:gridCol w:w="900"/>
        <w:gridCol w:w="620"/>
        <w:gridCol w:w="1050"/>
        <w:gridCol w:w="620"/>
        <w:gridCol w:w="560"/>
        <w:gridCol w:w="1000"/>
        <w:gridCol w:w="1100"/>
        <w:gridCol w:w="1576"/>
      </w:tblGrid>
      <w:tr>
        <w:trPr>
          <w:cantSplit w:val="false"/>
          <w:tblHeader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Lp.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Komponent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Funkcja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INT / SEP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Materiał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Masa [g]</w:t>
            </w: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% masy</w:t>
            </w: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Dostawca</w:t>
            </w: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Nr dok. dostawcy</w:t>
            </w: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Metale ≤100 mg/kg — dowód</w:t>
            </w: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1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Korpus — karton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zawartość, ochrona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korpus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tektura falista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2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Farba drukarska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identyfikacja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masa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farba wodna flexo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3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Klej / hot melt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zamknięcie joint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masa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klej na bazie wody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4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Taśma zamykająca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zamknięcie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INT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PP / papier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5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Etykieta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identyfikacja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INT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papier / PP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6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Wkładka / przekładka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ochrona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SEP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tektura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7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Wypełniacz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ochrona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SEP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papier / PE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8</w:t>
            </w: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Zszywki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zamknięcie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INT</w:t>
            </w: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stal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1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cantSplit w:val="false"/>
          <w:tblHeader w:val="false"/>
        </w:trPr>
        <w:tc>
          <w:tcPr>
            <w:tcW w:type="dxa" w:w="4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3750"/>
            <w:gridSpan w:val="4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RAZEM — masa jednostki opakowaniowej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56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100 %</w:t>
            </w:r>
          </w:p>
        </w:tc>
        <w:tc>
          <w:tcPr>
            <w:tcW w:type="dxa" w:w="3676"/>
            <w:gridSpan w:val="3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</w:tbl>
    <w:p>
      <w:pPr>
        <w:spacing w:after="15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Test opakowania kompozytowego — art. 3 ust. 1 pkt 24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Opakowanie jest kompozytowe, jeżeli składa się z co najmniej dwóch różnych materiałów, których nie da się rozdzielić ręcznie, a materiał inny niż główny stanowi ponad 5 % masy jednostki. Do tego testu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nie liczy się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: etykiet, lakierów, farb, tuszy i klejów.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Materiał główny i jego udział masowy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papier / tektura — 96,8 %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Materiały inne niż główny (bez etykiet, farb, lakierów, klejów)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wypisz z udziałami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Suma udziału materiałów innych niż główny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% — czy przekracza 5 %?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Wniosek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opakowanie kompozytowe: TAK / NIE, z jednozdaniowym uzasadnieniem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E5E7EB" w:sz="4"/>
              <w:left w:val="single" w:color="E5E7EB" w:sz="18"/>
              <w:bottom w:val="single" w:color="E5E7EB" w:sz="4"/>
              <w:right w:val="single" w:color="E5E7EB" w:sz="4"/>
            </w:tcBorders>
            <w:shd w:fill="F9FAF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Najczęstsze pominięcia w tej tabeli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Taśma, etykieta, zszywki, klej, farba, wkładka, wypełniacz, saszetka z pochłaniaczem wilgoci, folia antykorozyjna, narożniki ochronne, klipsy i uchwyty. Zszywki są w załączniku I do PPWR nazwane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wprost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jako opakowanie.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Nie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wciągaj tu palety, folii stretch ani taśmy spinającej — to odrębne formaty, wymagające własnych plików i własnych deklaracji.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Nie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wciągaj etykiety przewozowej naklejanej przez kuriera z jego zapasu — jej wytwórcą jest przewoźnik. Ale etykieta drukowana z Twojego zapasu etykiet to już Twój komponent.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4. Wymogi dotyczące substancji — art. 5</w:t>
      </w: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4.1. Metale ciężkie — art. 5 ust. 4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„Bez uszczerbku dla ograniczeń dotyczących substancji chemicznych określonych w załączniku XVII do rozporządzenia (WE) nr 1907/2006 lub, w stosownych przypadkach, ograniczeń i szczególnych środków odnoszących się do materiałów i wyrobów przeznaczonych do kontaktu z żywnością określonych w rozporządzeniu (WE) nr 1935/2004 suma stężeń ołowiu, kadmu, rtęci i chromu sześciowartościowego wynikających z obecności substancji w opakowaniach lub częściach składowych opakowań nie może przekraczać 100 mg/kg.”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Art. 5 ust. 4 rozporządzenia (UE) 2025/40</w:t>
            </w:r>
          </w:p>
        </w:tc>
      </w:tr>
    </w:tbl>
    <w:p>
      <w:pPr>
        <w:spacing w:after="1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„Zgodność z wymogami określonymi w ust. 4 i 5 niniejszego artykułu wykazuje się w dokumentacji technicznej sporządzonej zgodnie z załącznikiem VII.”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Art. 5 ust. 6 rozporządzenia (UE) 2025/40</w:t>
            </w:r>
          </w:p>
        </w:tc>
      </w:tr>
    </w:tbl>
    <w:p>
      <w:pPr>
        <w:spacing w:after="14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Cztery metale, jedna wspólna suma: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ołów (Pb) + kadm (Cd) + rtęć (Hg) + chrom sześciowartościowy Cr(VI) ≤ 100 mg/kg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 Nie limit na każdy metal osobno. Nie chrom całkowity — chrom sześciowartościowy. Nie arsen, nikiel ani cyna.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Punktem odniesienia jest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jednostka opakowaniowa jako całość, razem z farbami, lakierami, klejami i klejami montażowymi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(FAQ Komisji, rozdz. III pyt. 17). To nie jest logika RoHS — nie liczy się „materiał homogeniczny”. Obliczenie to średnia ważona masą: sumujesz iloczyny stężenia w każdym materiale i masy tego materiału, a dzielisz przez masę całego opakowania.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86EFAC" w:sz="4"/>
              <w:left w:val="single" w:color="86EFAC" w:sz="18"/>
              <w:bottom w:val="single" w:color="86EFAC" w:sz="4"/>
              <w:right w:val="single" w:color="86EFAC" w:sz="4"/>
            </w:tcBorders>
            <w:shd w:fill="F0FDF4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Dlaczego kartony praktycznie nigdy nie przekraczają limitu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Etykieta o masie 1,5 g, w której farba zawiera skrajnie wysokie 500 mg/kg ołowiu, na kartonie o masie 400 g wnosi do sumy 500 × 1,5 / 400 ≈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1,9 mg/kg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. Farba może być o rząd wielkości powyżej limitu jako materiał, a opakowanie i tak przechodzi, bo stanowi promile masy.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Dane pomiarowe: tektura falista z makulatury — ołów średnio ok. 2,6 mg/kg, kadm ok. 0,09 mg/kg (Mertoglu-Elmas, BioResources 12(2), 2017). Badanie 100 próbek polskiego papieru z recyklingu — żaden wynik nie przekroczył 30 mg/kg (cytowane w raporcie RIVM 609021114/2011).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Realne przekroczenia w historii pomiarów dotyczyły elastycznego PVC i skrzynek na napoje z recyklatu, nie tektury.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Wyniki i bilans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500"/>
        <w:gridCol w:w="1500"/>
        <w:gridCol w:w="3826"/>
      </w:tblGrid>
      <w:tr>
        <w:trPr>
          <w:tblHeader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Metal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Wynik [mg/kg]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Metoda oznaczenia</w:t>
            </w:r>
          </w:p>
        </w:tc>
        <w:tc>
          <w:tcPr>
            <w:tcW w:type="dxa" w:w="3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Uwagi</w:t>
            </w: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Ołów (Pb)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Kadm (Cd)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Rtęć (Hg)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Chrom sześciowartościowy Cr(VI)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SUMA czterech metali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wobec limitu 100 mg/kg</w:t>
            </w:r>
          </w:p>
        </w:tc>
        <w:tc>
          <w:tcPr>
            <w:tcW w:type="dxa" w:w="38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wniosek: spełnia / nie spełnia</w:t>
            </w: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Jeżeli laboratorium podało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chrom całkowity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zamiast Cr(VI), wpisz jawne uzasadnienie typu „najgorszy przypadek”: chrom sześciowartościowy jest podzbiorem chromu całkowitego, więc jeżeli suma policzona z chromem całkowitym mieści się w 100 mg/kg, Cr(VI) tym bardziej nie może limitu przekroczyć — oznaczenie specjacyjne jest wtedy zbędne. To działa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tylko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wtedy, gdy suma z chromem całkowitym mieści się w limicie.</w:t>
      </w:r>
    </w:p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Ścieżka dowodowa — zaznacz tę, którą realnie masz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 — sprawozdanie z badań laboratoryjnych.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Wypełnij tabelę powyżej i poniższe pola. Sprawozdanie dołącz jako załącznik.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Laboratorium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nazwa, adres, numer akredytacji i potwierdzenie, że jej zakres obejmuje tę metodę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Numer i data sprawozdania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raport starszy niż 3–5 lat traktuj jako nieaktualny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Identyfikacja i sposób pobrania próbki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co dokładnie badano, ile sztuk, z jakiej partii, kto pobrał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Techniki analityczne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mineralizacja + ICP-MS (Pb, Cd, Cr); CV-AAS (Hg); ekstrakcja alkaliczna + difenylokarbazyd 540 nm (Cr(VI))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Granice oznaczalności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muszą pozwalać wykryć co najmniej 1 mg każdego metalu na 1 kg opakowania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Zakres ważności sprawozdania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do jakich indeksów, formatów i rodzin materiałowych się stosuje i dlaczego — to legalizuje niebadanie każdego SKU</w:t>
            </w:r>
          </w:p>
        </w:tc>
      </w:tr>
    </w:tbl>
    <w:p>
      <w:pPr>
        <w:spacing w:after="120"/>
      </w:pP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B — pisemne oświadczenie dostawcy, bez badania.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Dopuszczalne i w praktyce najczęstsze — ale musi być obudowane analizą ryzyka z sekcji 5. Podstawa prawna oparcia się na oświadczeniu: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art. 16 ust. 1 PPWR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zobowiązuje dostawcę do przekazania wytwórcy wszystkich informacji i dokumentacji niezbędnych do wykazania zgodności; według wykładni Komisji dostawca nie może odmówić.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Wystawca oświadczenia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nazwa, adres, osoba podpisująca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Data i numer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Zakres wyrobowy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których indeksów dotyczy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Treść zobowiązania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czy zawiera zdanie o sumie ≤ 100 mg/kg ORAZ o braku zamierzonego wprowadzania metali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Podstawa twierdzenia dostawcy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badania własne (kiedy, jakie laboratorium, numer) / deklaracje jego dostawców papieru i farb / oba. Samo „potwierdzamy zgodność” bez podstawy jest bezwartościowe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Podstawa prawna przywołana w oświadczeniu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powinna to być art. 5 ust. 4 rozporządzenia (UE) 2025/40, nie uchylony art. 11 dyrektywy 94/62/WE</w:t>
            </w:r>
          </w:p>
        </w:tc>
      </w:tr>
    </w:tbl>
    <w:p>
      <w:pPr>
        <w:spacing w:after="120"/>
      </w:pP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 — brak dowodu. Luka.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 Nie zostawiaj tej sekcji pustej. Opisz lukę, wstępną analizę ryzyka i plan jej zamknięcia z datami — w sekcji 5 i 9. Udokumentowany, rozpoczęty proces jest w praktyce kontrolnej traktowany zupełnie inaczej niż brak jakichkolwiek działań.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4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0D0B14"/>
                <w:sz w:val="19"/>
                <w:szCs w:val="19"/>
              </w:rPr>
              <w:t xml:space="preserve">Opis luki i plan jej zamknięcia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17"/>
                <w:szCs w:val="17"/>
              </w:rPr>
              <w:t xml:space="preserve">Czego brakuje, dla których indeksów, u którego dostawcy. Kiedy wysłano żądanie w trybie art. 16 ust. 1. Jaki jest termin odpowiedzi. Co się stanie, jeśli odpowiedź nie przyjdzie — przesiew XRF, badanie potwierdzające, zmiana dostawcy. Kto odpowiada i do kiedy.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4.2. PFAS — art. 5 ust. 5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Od 12 sierpnia 2026 r. limity PFAS dotyczą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wyłącznie opakowań przeznaczonych do kontaktu z żywnością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. Progi: 25 ppb dla pojedynczej substancji PFAS, 250 ppb dla sumy PFAS, 50 ppm dla PFAS łącznie z polimerowymi — przy czym próg jest osiągnięty już przy równości, nie tylko przy przekroczeniu.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Czy opakowanie ma kontakt z żywnością?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TAK / NIE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Jeżeli NIE — wniosek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„Art. 5 ust. 5 nie ma zastosowania: opakowanie nie jest przeznaczone do kontaktu z żywnością.” To wystarczy — nie zamawiaj badania PFAS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Jeżeli TAK — dowód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kaskada zalecana przez Komisję: fluor całkowity → fluor organiczny → analiza TOP. Numer i data sprawozdania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Oświadczenie o niedodawaniu PFAS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opcjonalne, tanie i przydatne przy audytach klientów B2B nawet gdy art. 5 ust. 5 nie dotyczy</w:t>
            </w:r>
          </w:p>
        </w:tc>
      </w:tr>
    </w:tbl>
    <w:p>
      <w:pPr>
        <w:spacing w:after="15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4.3. Minimalizacja substancji potencjalnie niebezpiecznych — art. 5 ust. 1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Art. 5 ust. 1 nakazuje wytwarzać opakowania tak, aby obecność i stężenie substancji potencjalnie niebezpiecznych były ograniczone do minimum. Nie ma tu progu liczbowego i nie ma własnego obowiązku dokumentacyjnego — art. 5 ust. 6 obejmuje wyłącznie ust. 4 i 5. Warto jednak wpisać krótki opis jakościowy, bo jest to najtańszy sposób pokazania, że wymóg był rozważony.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4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0D0B14"/>
                <w:sz w:val="19"/>
                <w:szCs w:val="19"/>
              </w:rPr>
              <w:t xml:space="preserve">Opis jakościowy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17"/>
                <w:szCs w:val="17"/>
              </w:rPr>
              <w:t xml:space="preserve">Np.: monomateriał z tektury; farby wodne bez pigmentów metalicznych; brak PVC i brak powłok barierowych; klej na bazie wody; brak celowego dodawania substancji z listy kandydackiej SVHC — potwierdzone oświadczeniem dostawcy nr …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5. Analiza i ocena ryzyka niezgodności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„Dokumentacja umożliwia ocenę opakowania pod względem jego zgodności z mającymi zastosowanie wymogami i obejmuje odpowiednią analizę i ocenę ryzyka niezgodności.”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Załącznik VII pkt 2, zdanie pierwsze</w:t>
            </w:r>
          </w:p>
        </w:tc>
      </w:tr>
    </w:tbl>
    <w:p>
      <w:pPr>
        <w:spacing w:after="13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To jest sekcja, którą najczęściej się pomija — i jedyna, którą rozporządzenie nakazuje wprost, niezależnie od listy lit. a)–f). To także miejsce, w którym samo oświadczenie dostawcy zamienia się w dowód: jeżeli nie masz badania, to właśnie tutaj uzasadniasz, dlaczego badanie było nieproporcjonalne.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250"/>
        <w:gridCol w:w="4076"/>
        <w:gridCol w:w="1800"/>
      </w:tblGrid>
      <w:tr>
        <w:trPr>
          <w:tblHeader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Wymóg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Poziom ryzyka</w:t>
            </w: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Uzasadnienie oceny</w:t>
            </w: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Dowód / działanie</w:t>
            </w: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5 ust. 4 — metale ciężkie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5 ust. 5 — PFAS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5 ust. 1 — substancje potencjalnie niebezpieczne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6 — recyklowalność (od 2030)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10 — minimalizacja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12 — etykietowanie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Art. 15 ust. 5 i 6 — oznaczenia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Zmiana materiału po stronie dostawcy</w:t>
            </w:r>
          </w:p>
        </w:tc>
        <w:tc>
          <w:tcPr>
            <w:tcW w:type="dxa" w:w="12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0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8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Argumenty, z których buduje się tę analizę, gdy nie ma badania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Rodzaj materiału.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Tektura falista, przezroczysta taśma PP, przezroczysty stretch LLDPE i niebarwiony wypełniacz papierowy to kategoria najniższego ryzyka.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Dane literaturowe.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Zmierzone wartości w tekturze z makulatury to jednostki mg/kg wobec limitu 100 — z podaniem źródła.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Udział masowy komponentów o wysokim stężeniu.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Wylicz wkład farby i etykiety do sumy przy skrajnym założeniu. Liczba mówi więcej niż zapewnienie.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Brak czynników ryzyka.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Brak zadruku wielokolorowego, brak barwionych taśm i folii, brak PVC, brak elementów chromianowanych.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Oświadczenie dostawcy o braku zamierzonego wprowadzania metali.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To pojęcie z decyzji derogacyjnych: obecność incydentalna, np. w recyklacie, jest tolerowana do 100 mg/kg — zamierzone dodanie nie.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4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0D0B14"/>
                <w:sz w:val="19"/>
                <w:szCs w:val="19"/>
              </w:rPr>
              <w:t xml:space="preserve">Wniosek z analizy ryzyka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17"/>
                <w:szCs w:val="17"/>
              </w:rPr>
              <w:t xml:space="preserve">Sformułuj wprost, np.: „Na podstawie oświadczenia dostawcy nr …, charakterystyki materiału i przedstawionej analizy udziałów masowych ryzyko niezgodności z art. 5 ust. 4 uznano za pomijalne. Badanie laboratoryjne uznano za nieproporcjonalne. Ocena podlega weryfikacji przy wystąpieniu któregokolwiek ze zdarzeń wyzwalających z sekcji 9.”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6. Wykaz norm zharmonizowanych i specyfikacji technicznych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Załącznik VII pkt 2 lit. d) ppkt (i)–(v). Tego pola nie zostawiaj pustego — przy kontroli opartej na analizie ryzyka pusta rubryka czyta się jak brak metody.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400"/>
        <w:gridCol w:w="5926"/>
      </w:tblGrid>
      <w:tr>
        <w:trPr>
          <w:tblHeader/>
        </w:trPr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Ppkt</w:t>
            </w:r>
          </w:p>
        </w:tc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Element</w:t>
            </w:r>
          </w:p>
        </w:tc>
        <w:tc>
          <w:tcPr>
            <w:tcW w:type="dxa" w:w="5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Treść</w:t>
            </w:r>
          </w:p>
        </w:tc>
      </w:tr>
      <w:tr>
        <w:trPr>
          <w:tblHeader w:val="false"/>
        </w:trPr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(i)</w:t>
            </w:r>
          </w:p>
        </w:tc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Normy zharmonizowane (art. 36), zastosowane w pełni lub częściowo</w:t>
            </w:r>
          </w:p>
        </w:tc>
        <w:tc>
          <w:tcPr>
            <w:tcW w:type="dxa" w:w="5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 dzień sporządzenia dokumentacji w Dzienniku Urzędowym UE nie przywołano żadnej normy zharmonizowanej pod rozporządzeniem (UE) 2025/40. Nie zastosowano.</w:t>
            </w:r>
          </w:p>
        </w:tc>
      </w:tr>
      <w:tr>
        <w:trPr>
          <w:tblHeader w:val="false"/>
        </w:trPr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(ii)</w:t>
            </w:r>
          </w:p>
        </w:tc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Wspólne specyfikacje (art. 37)</w:t>
            </w:r>
          </w:p>
        </w:tc>
        <w:tc>
          <w:tcPr>
            <w:tcW w:type="dxa" w:w="5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ustanowiono. Nie zastosowano.</w:t>
            </w:r>
          </w:p>
        </w:tc>
      </w:tr>
      <w:tr>
        <w:trPr>
          <w:tblHeader w:val="false"/>
        </w:trPr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(iii)</w:t>
            </w:r>
          </w:p>
        </w:tc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Inne specyfikacje techniczne wykorzystane do celów pomiarowych lub obliczeniowych</w:t>
            </w:r>
          </w:p>
        </w:tc>
        <w:tc>
          <w:tcPr>
            <w:tcW w:type="dxa" w:w="5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Tu wpisuje się to, co realnie zastosowano — np. CEN CR 13695-1:2000 (wersja polska PKN-CEN/CR 13695-1:2005) dla metali ciężkich; kod FEFCO dla konstrukcji; EN 13428:2004 dla oceny minimalizacji do 31.12.2029; wzór obliczeniowy z rozporządzenia Ministra Środowiska z 21.01.2015 (Dz.U. 2015 poz. 170, § 4 i § 5).</w:t>
            </w:r>
          </w:p>
        </w:tc>
      </w:tr>
      <w:tr>
        <w:trPr>
          <w:tblHeader w:val="false"/>
        </w:trPr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(iv)</w:t>
            </w:r>
          </w:p>
        </w:tc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Przy częściowym zastosowaniu — które części</w:t>
            </w:r>
          </w:p>
        </w:tc>
        <w:tc>
          <w:tcPr>
            <w:tcW w:type="dxa" w:w="5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(v)</w:t>
            </w:r>
          </w:p>
        </w:tc>
        <w:tc>
          <w:tcPr>
            <w:tcW w:type="dxa" w:w="2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Przy braku norm zharmonizowanych — opis przyjętych rozwiązań</w:t>
            </w:r>
          </w:p>
        </w:tc>
        <w:tc>
          <w:tcPr>
            <w:tcW w:type="dxa" w:w="5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Obowiązkowo. Opisz własną metodykę: dla art. 5 ust. 4 — metoda analityczna, punkt pobrania próbki, poziom agregacji komponentów, granica oznaczalności, wzór obliczeniowy; dla art. 5 ust. 5 — kaskada fluor całkowity → fluor organiczny → TOP.</w:t>
            </w:r>
          </w:p>
        </w:tc>
      </w:tr>
    </w:tbl>
    <w:p>
      <w:pPr>
        <w:spacing w:after="15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/>
            </w:pPr>
            <w:r>
              <w:rPr>
                <w:rFonts w:ascii="Arial" w:cs="Arial" w:eastAsia="Arial" w:hAnsi="Arial"/>
                <w:b/>
                <w:bCs/>
                <w:color w:val="0D0B14"/>
                <w:sz w:val="20"/>
                <w:szCs w:val="20"/>
              </w:rPr>
              <w:t xml:space="preserve">Nie wpisuj norm, których nie zastosowałeś — i nie wpisuj starych norm w ppkt (i)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Seria EN 13427 / 13428 / 13429 / 13430 / 13431 / 13432 była przywołana w Dzienniku Urzędowym pod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uchyloną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dyrektywą 94/62/WE. Pod PPWR nie tworzy domniemania zgodności. Wpisanie ich w ppkt (i) jest materialnie nieprawidłowe — właściwe miejsce to ppkt (iii).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Jedyny wyjątek: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EN 13428:2004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pozostaje relewantna dla oceny minimalizacji do 31 grudnia 2029 r. na podstawie przepisu przejściowego art. 70 ust. 1 lit. b) PPWR.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 wykazania zgodności z limitem metali ciężkich Komisja rekomenduje wprost raport CEN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CR 13695-1:2000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(FAQ Komisji, rozdz. III pyt. 10). Formalnie to raport CEN, nie norma europejska — dlatego jego miejsce jest w ppkt (iii), nie w (i).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Lepiej napisać „nie zastosowano norm zharmonizowanych” niż wpisać przypadkowy numer. Nieprawdziwa deklaracja jest gorsza niż skromna.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7. Oceny z art. 6, 10 i 11 — opis jakościowy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Załącznik VII pkt 2 lit. e): „jakościowy opis sposobu, w jaki przeprowadzono oceny, o których mowa w art. 6, 10 i 11”. W 2026 r. większość tych wymogów jeszcze nie obowiązuje — ale sekcja musi zostać rozstrzygnięta, a zbierane teraz dane oszczędzą pracy w 2029 r.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7.1. Recyklowalność — art. 6 (od 1 stycznia 2030 r.)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Status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np.: kryteria projektowania z myślą o recyklingu zostaną ustanowione aktem delegowanym; wymóg stosuje się od 1.01.2030. Ocena formalna nie została jeszcze przeprowadzona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Ocena wstępna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monomateriał / kompozyt; czy komponenty są kompatybilne z istniejącym systemem zbiórki i sortowania; czy któryś komponent utrudnia recykling korpusu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Udział recyklatu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art. 7 — dotyczy opakowań z tworzyw sztucznych od 2030. Dla tektury: n/d, ale warto zapisać udział makulatury już teraz</w:t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7.2. Minimalizacja — art. 10 i załącznik IV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Do 31 grudnia 2029 r. obowiązuje reżim przejściowy: ocenę minimalizacji prowadzi się według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EN 13428:2004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i korzysta z domniemania zgodności (art. 70 ust. 1 lit. b PPWR). Od 1 stycznia 2030 r. wchodzi art. 10, a z nim obowiązek udokumentowania — dla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każdego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z ośmiu kryteriów z załącznika IV — jaki wymóg projektowy uniemożliwia dalszą redukcję masy i objętości.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Metoda oceny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EN 13428:2004, reżim przejściowy do 31.12.2029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Wynik oceny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krótki opis: dlaczego ta masa i ta objętość są minimalne dla tej funkcji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Rozważone i odrzucone alternatywy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mniejszy karton, cieńsza tektura, mniej wypełniacza, inna konstrukcja — z powodem odrzucenia. Załącznik IV wymaga, by zbadano wszystkie możliwości redukcji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Dowód na kryterium „ochrona produktu”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dane o uszkodzeniach transportowych — to najmocniejszy argument, że dalsza redukcja nie jest możliwa. Zbieraj je od dziś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Dwie rzeczy, których nie da się już użyć jako uzasadnienia większego opakowania: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akceptacja konsumenta i marketing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zostały usunięte z listy kryteriów. Nie da się obronić większego kartonu argumentem, że lepiej wygląda.</w:t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7.3. Opakowania wielokrotnego użytku — art. 11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Czy opakowanie jest wielokrotnego użytku?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TAK / NIE. Jeżeli NIE — wpisz „n/d, opakowanie jednorazowe”, retencja dokumentacji 5 lat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Jeżeli TAK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liczba zaplanowanych rotacji, system regeneracji (załącznik VI), retencja 10 lat, etykieta „reusable” z art. 12 ust. 2 od 12.02.2029</w:t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7.4. Wskaźnik pustej przestrzeni — art. 24 (od 2030)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Formalnie art. 24 nie należy do lit. e), ale dotyczy tego samego opakowania i obciąża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tego, kto je napełnia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czyli zwykle Ciebie, niezależnie od tego, kto jest wytwórcą kartonu. Od 2030 r. maksymalny udział pustej przestrzeni w opakowaniu zbiorczym, transportowym i e-commerce wynosi 50 %. Wylicz to już teraz, żeby wiedzieć, gdzie jesteś.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26"/>
      </w:tblGrid>
      <w:tr>
        <w:trPr>
          <w:tblHeader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Parametr</w:t>
            </w:r>
          </w:p>
        </w:tc>
        <w:tc>
          <w:tcPr>
            <w:tcW w:type="dxa" w:w="5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Wartość</w:t>
            </w: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Objętość wewnętrzna opakowania [dm³]</w:t>
            </w:r>
          </w:p>
        </w:tc>
        <w:tc>
          <w:tcPr>
            <w:tcW w:type="dxa" w:w="5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Objętość opakowań sprzedażowych w środku [dm³]</w:t>
            </w:r>
          </w:p>
        </w:tc>
        <w:tc>
          <w:tcPr>
            <w:tcW w:type="dxa" w:w="5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Objętość wypełniacza [dm³]</w:t>
            </w:r>
          </w:p>
        </w:tc>
        <w:tc>
          <w:tcPr>
            <w:tcW w:type="dxa" w:w="5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Wyliczony wskaźnik pustej przestrzeni [%]</w:t>
            </w:r>
          </w:p>
        </w:tc>
        <w:tc>
          <w:tcPr>
            <w:tcW w:type="dxa" w:w="56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FCD34D" w:sz="4"/>
              <w:left w:val="single" w:color="FCD34D" w:sz="18"/>
              <w:bottom w:val="single" w:color="FCD34D" w:sz="4"/>
              <w:right w:val="single" w:color="FCD34D" w:sz="4"/>
            </w:tcBorders>
            <w:shd w:fill="FFFBEB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Pułapka: </w:t>
            </w: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wypełniacze liczą się jako pusta przestrzeń, nie jako wypełnienie.</w:t>
            </w: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 Art. 24 ust. 3 wymienia wprost ścinki papieru, poduszki powietrzne, folię bąbelkową, wypełniacze gąbkowe i piankowe, wełnę drzewną oraz chipsy styropianowe. Duży karton z grubą warstwą folii bąbelkowej może być wprost policzalny jako naruszenie limitu.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8. Sprawozdania z badań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Załącznik VII pkt 2 lit. f). Wykaz wszystkich sprawozdań i wyników pomiarów, na których opiera się ocena zgodności.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1600"/>
        <w:gridCol w:w="1500"/>
        <w:gridCol w:w="3226"/>
      </w:tblGrid>
      <w:tr>
        <w:trPr>
          <w:tblHeader/>
        </w:trPr>
        <w:tc>
          <w:tcPr>
            <w:tcW w:type="dxa" w:w="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Lp.</w:t>
            </w:r>
          </w:p>
        </w:tc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Przedmiot badania</w:t>
            </w:r>
          </w:p>
        </w:tc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Laboratorium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Nr / data</w:t>
            </w:r>
          </w:p>
        </w:tc>
        <w:tc>
          <w:tcPr>
            <w:tcW w:type="dxa" w:w="3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Wynik i wniosek</w:t>
            </w:r>
          </w:p>
        </w:tc>
      </w:tr>
      <w:tr>
        <w:trPr>
          <w:tblHeader w:val="false"/>
        </w:trPr>
        <w:tc>
          <w:tcPr>
            <w:tcW w:type="dxa" w:w="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6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2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Jeżeli nie wykonano żadnych badań, wpisz to wprost wraz z uzasadnieniem i odwołaniem do analizy ryzyka z sekcji 5. Rozporządzenie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nie nakłada obowiązku badania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nakłada obowiązek udokumentowania zgodności. To dwie różne rzeczy.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4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0D0B14"/>
                <w:sz w:val="19"/>
                <w:szCs w:val="19"/>
              </w:rPr>
              <w:t xml:space="preserve">Adnotacja o braku badań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i/>
                <w:iCs/>
                <w:color w:val="6B7280"/>
                <w:sz w:val="17"/>
                <w:szCs w:val="17"/>
              </w:rPr>
              <w:t xml:space="preserve">np.: „Nie wykonano badań laboratoryjnych. Zgodność z art. 5 ust. 4 wykazano na podstawie oświadczeń dostawców nr … oraz analizy ryzyka opisanej w sekcji 5. Metodyka i uzasadnienie proporcjonalności: sekcja 6 ppkt (v).”</w:t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  <w:p>
            <w:pPr>
              <w:spacing w:after="3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9. Nadzór nad wytwarzaniem i rejestr zmian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„Wytwórca wprowadza wszelkie niezbędne środki, tak aby proces wytwarzania i jego monitorowanie zapewniały zgodność wytwarzanego opakowania z dokumentacją techniczną, o której mowa w pkt 2, oraz z wymogami, o których mowa w pkt 1.”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Załącznik VII pkt 3</w:t>
            </w:r>
          </w:p>
        </w:tc>
      </w:tr>
    </w:tbl>
    <w:p>
      <w:pPr>
        <w:spacing w:after="120"/>
      </w:pP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PPWR nie podaje żadnej częstotliwości badań ani okresu ważności oświadczenia dostawcy. Obowiązek, który realnie z tego wynika, jest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zdarzeniowy, nie kalendarzowy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: art. 15 ust. 4 nakazuje ponowną ocenę, gdy zmiana projektu, charakterystyk albo zastosowanych specyfikacji mogłaby wpłynąć na zgodność.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Zdarzenia wyzwalające ponowną ocenę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Zmiana dostawcy materiału opakowaniowego — nowa tekturnica, nowa fabryka. Najsilniejszy wyzwalacz.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Zmiana materiału: inna tektura, inny udział makulatury, inna gramatura, przejście na recyklat w folii.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Zmiana farb, lakieru lub kleju — w tym dodanie koloru do nadruku.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Przeprojektowanie opakowania albo dodanie komponentu: nowa etykieta, nowa taśma, nowy wypełniacz.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Nowy format albo nowa konstrukcja.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Wynik przesiewowy sugerujący problem, sygnał od klienta, żądanie organu.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Osoba odpowiedzialna za nadzór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Sposób nadzoru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np. weryfikacja karty materiałowej przy każdej dostawie; kontrola zgodności nadruku; odświeżanie oświadczeń dostawców raz w roku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Zapis umowny u dostawcy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obowiązek notyfikacji każdej zmiany specyfikacji lub receptury — bez tego nadzór jest fikcją</w:t>
            </w:r>
          </w:p>
        </w:tc>
      </w:tr>
    </w:tbl>
    <w:p>
      <w:pPr>
        <w:spacing w:after="13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Rejestr zmian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900"/>
        <w:gridCol w:w="3926"/>
        <w:gridCol w:w="1500"/>
        <w:gridCol w:w="1500"/>
      </w:tblGrid>
      <w:tr>
        <w:trPr>
          <w:tblHeader/>
        </w:trPr>
        <w:tc>
          <w:tcPr>
            <w:tcW w:type="dxa" w:w="1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Data</w:t>
            </w: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Rewizja</w:t>
            </w:r>
          </w:p>
        </w:tc>
        <w:tc>
          <w:tcPr>
            <w:tcW w:type="dxa" w:w="3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Co się zmieniło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Czy wymagało ponownej oceny</w:t>
            </w: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Kto zatwierdził</w:t>
            </w:r>
          </w:p>
        </w:tc>
      </w:tr>
      <w:tr>
        <w:trPr>
          <w:tblHeader w:val="false"/>
        </w:trPr>
        <w:tc>
          <w:tcPr>
            <w:tcW w:type="dxa" w:w="1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12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39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15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</w:tbl>
    <w:p>
      <w:pPr>
        <w:spacing w:after="110"/>
      </w:pP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Rejestr zmian jest w praktyce najważniejszym pojedynczym dokumentem w całym systemie: to on dowodzi, że nadzór z załącznika VII pkt 3 realnie działa, a nie istnieje tylko na papierze.</w:t>
      </w:r>
    </w:p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10. Deklaracja zgodności i przechowywanie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none" w:color="FFFFFF" w:sz="0"/>
              <w:left w:val="single" w:color="8B5CF6" w:sz="18"/>
              <w:bottom w:val="none" w:color="FFFFFF" w:sz="0"/>
              <w:right w:val="none" w:color="FFFFFF" w:sz="0"/>
            </w:tcBorders>
            <w:shd w:fill="FFFFFF" w:color="auto" w:val="clear"/>
            <w:tcMar>
              <w:top w:type="dxa" w:w="120"/>
              <w:left w:type="dxa" w:w="200"/>
              <w:bottom w:type="dxa" w:w="120"/>
              <w:right w:type="dxa" w:w="120"/>
            </w:tcMar>
          </w:tcPr>
          <w:p>
            <w:pPr>
              <w:spacing w:after="70"/>
            </w:pPr>
            <w:r>
              <w:rPr>
                <w:rFonts w:ascii="Arial" w:cs="Arial" w:eastAsia="Arial" w:hAnsi="Arial"/>
                <w:i/>
                <w:iCs/>
                <w:color w:val="1A1A1A"/>
                <w:sz w:val="19"/>
                <w:szCs w:val="19"/>
              </w:rPr>
              <w:t xml:space="preserve">„Wytwórca sporządza pisemną deklarację zgodności dla każdego rodzaju opakowania oraz przechowuje ją wraz z dokumentacją techniczną do dyspozycji organów krajowych przez okres pięciu lat po wprowadzeniu do obrotu opakowania jednorazowego użytku i dziesięciu lat po wprowadzeniu do obrotu opakowania wielokrotnego użytku. W deklaracji zgodności określa się opakowanie, w odniesieniu do którego ją sporządzono.”</w:t>
            </w:r>
          </w:p>
          <w:p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Załącznik VII pkt 4</w:t>
            </w:r>
          </w:p>
        </w:tc>
      </w:tr>
    </w:tbl>
    <w:p>
      <w:pPr>
        <w:spacing w:after="13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Numer deklaracji zgodności UE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musi być niepowtarzalny — zał. VIII pkt 1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Data wystawienia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Osoba podpisująca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imię, nazwisko, stanowisko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Języki deklaracji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art. 39 ust. 2 — język lub języki wymagane przez państwo członkowskie wprowadzenia lub udostępnienia. Sprzedaż do DE / FR / IT może wymagać tłumaczeń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Data wprowadzenia do obrotu pierwszej sztuki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Retencja do dnia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5 lat od wprowadzenia ostatniej sztuki (jednorazowe) / 10 lat (wielokrotnego użytku)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Miejsce przechowywania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ścieżka do folderu lub systemu — tak, żeby ktokolwiek w firmie odnalazł to w ciągu godziny</w:t>
            </w:r>
          </w:p>
        </w:tc>
      </w:tr>
      <w:tr>
        <w:trPr>
          <w:tblHeader w:val="false"/>
        </w:trPr>
        <w:tc>
          <w:tcPr>
            <w:tcW w:type="dxa" w:w="30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9FAFB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Osoba wydająca dokumenty organowi</w:t>
            </w:r>
          </w:p>
        </w:tc>
        <w:tc>
          <w:tcPr>
            <w:tcW w:type="dxa" w:w="60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8"/>
                <w:szCs w:val="18"/>
              </w:rPr>
              <w:t xml:space="preserve">art. 15 ust. 10 — dokumentacja w formie elektronicznej w ciągu 10 dni od uzasadnionego żądania, w języku łatwo zrozumiałym dla organu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Deklaracja zgodności UE — struktura z załącznika VIII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Deklaracja to osobny dokument. Załącznik VIII przewiduje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osiem punktów numerowanych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i nienumerowany blok podpisu. Dwie pułapki wzoru warto znać: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Punkt 5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dotyczy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innych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aktów prawa Unii („odniesienie do innych zastosowanych aktów Unii”), a nie samego PPWR. Stwierdzenie zgodności z art. 5–12 PPWR wynika z art. 39 ust. 1, nie z tego punktu wzoru.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Punkt 7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(jednostka notyfikowana) w praktyce pozostaje pusty — Moduł A nie przewiduje udziału jednostki notyfikowanej. Pole istnieje na wypadek deklaracji łączonej dla kilku aktów prawnych.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Punkt 1 wymaga „jednoznacznej identyfikacji opakowania”. Według wykładni Komisji chodzi o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typ, partię albo numer seryjny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nie o opis handlowy.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Deklaracja ma być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stale aktualizowana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(art. 39 ust. 2). To nie dokument jednorazowy.</w:t>
      </w:r>
    </w:p>
    <w:p>
      <w:pPr>
        <w:spacing w:after="150"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11. Załączniki — lista kontrolna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Karta techniczna materiału od dostawcy (TDS)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Oświadczenie dostawcy o metalach ciężkich — art. 5 ust. 4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Sprawozdanie z badań laboratoryjnych, jeżeli wykonano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Rysunek z krojnika (dieline) albo rysunek konstrukcyjny, jeżeli dostawca go posiada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Zdjęcia: opakowanie z zewnątrz, otwarte, nadruk z danymi wytwórcy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Kopia deklaracji zgodności UE dla tego typu opakowania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Dokumentacja techniczna dostawcy, jeżeli przekazana w trybie art. 16 ust. 1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Dla importu: kopia deklaracji zgodności wytwórcy z kraju trzeciego, potwierdzenie przeprowadzenia oceny zgodności, dokument towarzyszący z danymi importera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Korespondencja z dostawcami — dowód wykonania obowiązku nadzoru</w:t>
      </w:r>
    </w:p>
    <w:p>
      <w:pPr>
        <w:spacing w:after="70"/>
      </w:pPr>
      <w:r>
        <w:rPr>
          <w:rFonts w:ascii="Arial" w:cs="Arial" w:eastAsia="Arial" w:hAnsi="Arial"/>
          <w:color w:val="8B5CF6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A1A1A"/>
          <w:sz w:val="19"/>
          <w:szCs w:val="19"/>
        </w:rPr>
        <w:t xml:space="preserve">Klauzule umowne: obowiązek dostawy dokumentacji w trybie art. 16 ust. 1, notyfikacja zmian, prawo audytu</w:t>
      </w:r>
    </w:p>
    <w:p>
      <w:pPr>
        <w:spacing w:after="20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Podpisy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 w:val="false"/>
        </w:trPr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Sporządził</w:t>
            </w:r>
          </w:p>
        </w:tc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Zatwierdził</w:t>
            </w:r>
          </w:p>
        </w:tc>
      </w:tr>
      <w:tr>
        <w:trPr>
          <w:tblHeader w:val="false"/>
        </w:trPr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  <w:tr>
        <w:trPr>
          <w:tblHeader w:val="false"/>
        </w:trPr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imię i nazwisko, stanowisko, data, podpis</w:t>
            </w:r>
          </w:p>
        </w:tc>
        <w:tc>
          <w:tcPr>
            <w:tcW w:type="dxa" w:w="4513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5F3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6B7280"/>
                <w:sz w:val="17"/>
                <w:szCs w:val="17"/>
              </w:rPr>
              <w:t xml:space="preserve">imię i nazwisko, stanowisko, data, podpis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Przykład wypełnienia</w:t>
      </w:r>
    </w:p>
    <w:p>
      <w:pPr>
        <w:spacing w:after="150" w:before="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Poniżej ta sama dokumentacja z przykładowymi danymi: firma handlowa sprzedająca części samochodowe, karton wysyłkowy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z własnym logo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zamawiany u polskiej tekturnicy, wysyłany do klientów w Polsce i w czterech innych państwach UE. Logo przesądza, że wytwórcą jest firma handlowa, a nie tekturnica. Przykład jest skrócony — pokazuje sposób formułowania wpisów, nie zastępuje pełnego formularza.</w:t>
      </w:r>
    </w:p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Metryka i rola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26"/>
      </w:tblGrid>
      <w:tr>
        <w:trPr>
          <w:tblHeader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Treść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Numer dokumentacji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PPWR-TD-KART-001, rew. 1.0 z 19.08.2026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Podmiot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Przykład Sp. z o.o., ul. Przykładowa 1, 00-000 Miasto, NIP 000-000-00-00, BDO 000000000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Rola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Wytwórca — art. 3 ust. 1 pkt 13 lit. a) PPWR. Karton nosi logo firmy i jest wykonywany na jej specyfikację, więc obowiązki art. 15 spoczywają na firmie, nie na tekturnicy.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Deklaracja zgodności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DOC/2026/KART-001 z 19.08.2026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1 — opis ogólny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26"/>
      </w:tblGrid>
      <w:tr>
        <w:trPr>
          <w:tblHeader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Treść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Kod typu / indeksy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KART-001; rodzina rozmiarów: KART-001/A 400×300×200, /B 500×300×200, /C 600×400×250 — ta sama tektura, ten sam dostawca, ten sam nadruk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Kategoria wg PPWR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Opakowanie transportowe (art. 3 ust. 1 pkt 7); w sprzedaży wysyłkowej do konsumenta — opakowanie e-commerce (pkt 8). Nie jest opakowaniem sprzedażowym: klient kupuje część, nie karton.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Jednorazowe / wielokrotne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Jednorazowe → retencja dokumentacji 5 lat od wprowadzenia ostatniej sztuki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Przeznaczenie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Części karoseryjne o masie 0,5–8 kg: błotniki, lampy, atrapy, listwy. Kanał: 70 % B2C online, 30 % B2B hurt.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Rynki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PL, CZ, SK, DE, FR — deklaracja sporządzona w języku polskim, tłumaczenia na wniosek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Oznaczenia art. 15 ust. 5 i 6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Nadruk flexo na klapie górnej: nazwa firmy, adres pocztowy, e-mail, oraz kod typu „KART-001” i miesiąc/rok produkcji jako identyfikator partii. Zdjęcie: załącznik 4.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Etykieta art. 12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Nie dotyczy w 2026 r. Obowiązek etykiety składu materiałowego dla opakowań e-commerce od 12.08.2028 (lub później). Zmiana klisz zaplanowana na III kw. 2027.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2 — konstrukcja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6326"/>
      </w:tblGrid>
      <w:tr>
        <w:trPr>
          <w:tblHeader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Pole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Treść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Konstrukcja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FEFCO 0201 (Regular Slotted Container), joint klejony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Wymiary wewnętrzne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400 × 300 × 200 mm; objętość wewnętrzna 24,0 dm³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Wymiary zewnętrzne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408 × 308 × 210 mm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Masa jednostkowa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385 g (karton 372 g + taśma 5,8 g + etykieta 1,5 g + farba 1,2 g + klej 4,5 g)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Materiał główny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Tektura falista 3-warstwowa, fala B, 620 g/m², udział makulatury ok. 80 %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Wytrzymałość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ECT 6,2 kN/m wg karty technicznej dostawcy (załącznik 1)</w:t>
            </w:r>
          </w:p>
        </w:tc>
      </w:tr>
      <w:tr>
        <w:trPr>
          <w:tblHeader w:val="false"/>
        </w:trPr>
        <w:tc>
          <w:tcPr>
            <w:tcW w:type="dxa" w:w="2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Załączniki graficzne</w:t>
            </w:r>
          </w:p>
        </w:tc>
        <w:tc>
          <w:tcPr>
            <w:tcW w:type="dxa" w:w="63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Dieline PDF od tekturnicy (zał. 2); zdjęcie zewnętrzne i otwarte (zał. 3); zdjęcie nadruku (zał. 4)</w:t>
            </w:r>
          </w:p>
        </w:tc>
      </w:tr>
    </w:tbl>
    <w:p>
      <w:pPr>
        <w:spacing w:after="14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3 — tabela komponentów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"/>
        <w:gridCol w:w="1450"/>
        <w:gridCol w:w="700"/>
        <w:gridCol w:w="1150"/>
        <w:gridCol w:w="700"/>
        <w:gridCol w:w="620"/>
        <w:gridCol w:w="1450"/>
        <w:gridCol w:w="2576"/>
      </w:tblGrid>
      <w:tr>
        <w:trPr>
          <w:tblHeader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Lp.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Komponent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INT/SEP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Materiał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Masa [g]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% masy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Dostawca</w:t>
            </w:r>
          </w:p>
        </w:tc>
        <w:tc>
          <w:tcPr>
            <w:tcW w:type="dxa" w:w="2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Dowód art. 5(4)</w:t>
            </w:r>
          </w:p>
        </w:tc>
      </w:tr>
      <w:tr>
        <w:trPr>
          <w:tblHeader w:val="false"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1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Korpus kartonu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korpus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tektura falista BC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372,0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96,6 %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Tekturnica Sp. z o.o.</w:t>
            </w:r>
          </w:p>
        </w:tc>
        <w:tc>
          <w:tcPr>
            <w:tcW w:type="dxa" w:w="2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ośw. TS/2026/118</w:t>
            </w:r>
          </w:p>
        </w:tc>
      </w:tr>
      <w:tr>
        <w:trPr>
          <w:tblHeader w:val="false"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2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Farba flexo, 1 kolor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masa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farba wodna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1,2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0,31 %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Tekturnica Sp. z o.o.</w:t>
            </w:r>
          </w:p>
        </w:tc>
        <w:tc>
          <w:tcPr>
            <w:tcW w:type="dxa" w:w="2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ośw. TS/2026/118</w:t>
            </w:r>
          </w:p>
        </w:tc>
      </w:tr>
      <w:tr>
        <w:trPr>
          <w:tblHeader w:val="false"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3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Klej joint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masa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klej na bazie wody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4,5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1,17 %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Tekturnica Sp. z o.o.</w:t>
            </w:r>
          </w:p>
        </w:tc>
        <w:tc>
          <w:tcPr>
            <w:tcW w:type="dxa" w:w="2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ośw. TS/2026/118</w:t>
            </w:r>
          </w:p>
        </w:tc>
      </w:tr>
      <w:tr>
        <w:trPr>
          <w:tblHeader w:val="false"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4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Taśma zamykająca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INT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PP, klej akrylowy, bezbarwna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5,8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1,51 %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Pak-Hurt S.A.</w:t>
            </w:r>
          </w:p>
        </w:tc>
        <w:tc>
          <w:tcPr>
            <w:tcW w:type="dxa" w:w="2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ośw. PH/2026/44</w:t>
            </w:r>
          </w:p>
        </w:tc>
      </w:tr>
      <w:tr>
        <w:trPr>
          <w:tblHeader w:val="false"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5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Etykieta adresowa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INT</w:t>
            </w:r>
          </w:p>
        </w:tc>
        <w:tc>
          <w:tcPr>
            <w:tcW w:type="dxa" w:w="11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papier termiczny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1,5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0,39 %</w:t>
            </w:r>
          </w:p>
        </w:tc>
        <w:tc>
          <w:tcPr>
            <w:tcW w:type="dxa" w:w="145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Etyk-Print</w:t>
            </w:r>
          </w:p>
        </w:tc>
        <w:tc>
          <w:tcPr>
            <w:tcW w:type="dxa" w:w="257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7"/>
                <w:szCs w:val="17"/>
              </w:rPr>
              <w:t xml:space="preserve">ośw. EP/2026/07</w:t>
            </w:r>
          </w:p>
        </w:tc>
      </w:tr>
      <w:tr>
        <w:trPr>
          <w:tblHeader w:val="false"/>
        </w:trPr>
        <w:tc>
          <w:tcPr>
            <w:tcW w:type="dxa" w:w="38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type="dxa" w:w="3300"/>
            <w:gridSpan w:val="3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RAZEM</w:t>
            </w:r>
          </w:p>
        </w:tc>
        <w:tc>
          <w:tcPr>
            <w:tcW w:type="dxa" w:w="7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385,0</w:t>
            </w:r>
          </w:p>
        </w:tc>
        <w:tc>
          <w:tcPr>
            <w:tcW w:type="dxa" w:w="62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100 %</w:t>
            </w:r>
          </w:p>
        </w:tc>
        <w:tc>
          <w:tcPr>
            <w:tcW w:type="dxa" w:w="4026"/>
            <w:gridSpan w:val="2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</w:p>
        </w:tc>
      </w:tr>
    </w:tbl>
    <w:p>
      <w:pPr>
        <w:spacing w:after="110"/>
      </w:pP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Test opakowania kompozytowego: materiał główny papier/tektura 96,6 % masy. Materiały inne niż główny, po wyłączeniu etykiet, farb, lakierów i klejów, to wyłącznie taśma PP — 1,51 % masy, czyli poniżej progu 5 %. Opakowanie nie jest kompozytowe w rozumieniu art. 3 ust. 1 pkt 24.</w:t>
      </w:r>
    </w:p>
    <w:p>
      <w:pPr>
        <w:spacing w:after="15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4.1 — metale ciężkie, wariant z badaniem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1400"/>
        <w:gridCol w:w="1900"/>
        <w:gridCol w:w="3426"/>
      </w:tblGrid>
      <w:tr>
        <w:trPr>
          <w:tblHeader/>
        </w:trPr>
        <w:tc>
          <w:tcPr>
            <w:tcW w:type="dxa" w:w="23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Metal</w:t>
            </w:r>
          </w:p>
        </w:tc>
        <w:tc>
          <w:tcPr>
            <w:tcW w:type="dxa" w:w="1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Wynik [mg/kg]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Metoda</w:t>
            </w:r>
          </w:p>
        </w:tc>
        <w:tc>
          <w:tcPr>
            <w:tcW w:type="dxa" w:w="3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0D0B14"/>
                <w:sz w:val="18"/>
                <w:szCs w:val="18"/>
              </w:rPr>
              <w:t xml:space="preserve">Uwagi</w:t>
            </w:r>
          </w:p>
        </w:tc>
      </w:tr>
      <w:tr>
        <w:trPr>
          <w:tblHeader w:val="false"/>
        </w:trPr>
        <w:tc>
          <w:tcPr>
            <w:tcW w:type="dxa" w:w="23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Ołów (Pb)</w:t>
            </w:r>
          </w:p>
        </w:tc>
        <w:tc>
          <w:tcPr>
            <w:tcW w:type="dxa" w:w="1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2,1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mineralizacja + ICP-MS</w:t>
            </w:r>
          </w:p>
        </w:tc>
        <w:tc>
          <w:tcPr>
            <w:tcW w:type="dxa" w:w="3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LOQ 0,5 mg/kg</w:t>
            </w:r>
          </w:p>
        </w:tc>
      </w:tr>
      <w:tr>
        <w:trPr>
          <w:tblHeader w:val="false"/>
        </w:trPr>
        <w:tc>
          <w:tcPr>
            <w:tcW w:type="dxa" w:w="23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Kadm (Cd)</w:t>
            </w:r>
          </w:p>
        </w:tc>
        <w:tc>
          <w:tcPr>
            <w:tcW w:type="dxa" w:w="1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&lt; 0,5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mineralizacja + ICP-MS</w:t>
            </w:r>
          </w:p>
        </w:tc>
        <w:tc>
          <w:tcPr>
            <w:tcW w:type="dxa" w:w="3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poniżej granicy oznaczalności</w:t>
            </w:r>
          </w:p>
        </w:tc>
      </w:tr>
      <w:tr>
        <w:trPr>
          <w:tblHeader w:val="false"/>
        </w:trPr>
        <w:tc>
          <w:tcPr>
            <w:tcW w:type="dxa" w:w="23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Rtęć (Hg)</w:t>
            </w:r>
          </w:p>
        </w:tc>
        <w:tc>
          <w:tcPr>
            <w:tcW w:type="dxa" w:w="1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&lt; 0,5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CV-AAS</w:t>
            </w:r>
          </w:p>
        </w:tc>
        <w:tc>
          <w:tcPr>
            <w:tcW w:type="dxa" w:w="3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poniżej granicy oznaczalności</w:t>
            </w:r>
          </w:p>
        </w:tc>
      </w:tr>
      <w:tr>
        <w:trPr>
          <w:tblHeader w:val="false"/>
        </w:trPr>
        <w:tc>
          <w:tcPr>
            <w:tcW w:type="dxa" w:w="23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Chrom sześciowartościowy Cr(VI)</w:t>
            </w:r>
          </w:p>
        </w:tc>
        <w:tc>
          <w:tcPr>
            <w:tcW w:type="dxa" w:w="1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&lt; 1,0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ekstrakcja alkaliczna + difenylokarbazyd 540 nm</w:t>
            </w:r>
          </w:p>
        </w:tc>
        <w:tc>
          <w:tcPr>
            <w:tcW w:type="dxa" w:w="3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FFFFFF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poniżej granicy oznaczalności</w:t>
            </w:r>
          </w:p>
        </w:tc>
      </w:tr>
      <w:tr>
        <w:trPr>
          <w:tblHeader w:val="false"/>
        </w:trPr>
        <w:tc>
          <w:tcPr>
            <w:tcW w:type="dxa" w:w="23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SUMA</w:t>
            </w:r>
          </w:p>
        </w:tc>
        <w:tc>
          <w:tcPr>
            <w:tcW w:type="dxa" w:w="14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color w:val="1A1A1A"/>
                <w:sz w:val="19"/>
                <w:szCs w:val="19"/>
              </w:rPr>
              <w:t xml:space="preserve">≤ 4,1</w:t>
            </w:r>
          </w:p>
        </w:tc>
        <w:tc>
          <w:tcPr>
            <w:tcW w:type="dxa" w:w="1900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limit 100 mg/kg</w:t>
            </w:r>
          </w:p>
        </w:tc>
        <w:tc>
          <w:tcPr>
            <w:tcW w:type="dxa" w:w="3426"/>
            <w:gridSpan w:val="1"/>
            <w:tcBorders>
              <w:top w:val="single" w:color="D8D3E8" w:sz="4"/>
              <w:left w:val="single" w:color="D8D3E8" w:sz="4"/>
              <w:bottom w:val="single" w:color="D8D3E8" w:sz="4"/>
              <w:right w:val="single" w:color="D8D3E8" w:sz="4"/>
            </w:tcBorders>
            <w:shd w:fill="EDE9FE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spełnia — margines ponad 20-krotny</w:t>
            </w:r>
          </w:p>
        </w:tc>
      </w:tr>
    </w:tbl>
    <w:p>
      <w:pPr>
        <w:spacing w:after="110"/>
      </w:pP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Laboratorium Przykładowe Sp. z o.o., akredytacja PCA AB 0000 (zakres obejmuje oznaczanie metali w opakowaniach), sprawozdanie LAB/2026/1234 z 10.08.2026. Próbka: 3 nieużywane kartony KART-001/A z partii 07/2026, pobrane przez kierownika magazynu, protokół pobrania w załączniku 5. Metodyka: CEN CR 13695-1:2000; wzór obliczeniowy — średnia ważona masą wg § 4 rozporządzenia Dz.U. 2015 poz. 170. Zakres ważności: cała rodzina KART-001/A–C, ponieważ różni je wyłącznie format, przy identycznej tekturze, farbie, kleju i dostawcy.</w:t>
      </w:r>
    </w:p>
    <w:p>
      <w:pPr>
        <w:spacing w:after="15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4.1 — ten sam wpis w wariancie bez badania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86EFAC" w:sz="4"/>
              <w:left w:val="single" w:color="86EFAC" w:sz="18"/>
              <w:bottom w:val="single" w:color="86EFAC" w:sz="4"/>
              <w:right w:val="single" w:color="86EFAC" w:sz="4"/>
            </w:tcBorders>
            <w:shd w:fill="F0FDF4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„Zgodność z art. 5 ust. 4 wykazano na podstawie oświadczenia Tekturnica Sp. z o.o. nr TS/2026/118 z 05.08.2026, w którym dostawca potwierdza, że suma stężeń Pb, Cd, Hg i Cr(VI) nie przekracza 100 mg/kg oraz że żaden z tych metali nie jest zamierzenie wprowadzany do wyrobu ani do jego komponentów. Dostawca wskazuje jako podstawę własne badanie okresowe tektury oraz deklaracje producentów farb i klejów.</w:t>
            </w:r>
          </w:p>
          <w:p>
            <w:pPr>
              <w:spacing w:after="9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Analiza ryzyka: materiał główny to tektura falista z makulatury — kategoria najniższego ryzyka. Dane literaturowe dla tego materiału wskazują ołów na poziomie ok. 2,6 mg/kg i kadm ok. 0,09 mg/kg (Mertoglu-Elmas, BioResources 12(2), 2017). Farba stanowi 0,31 % masy jednostki; nawet przy skrajnym założeniu 1000 mg/kg ołowiu w farbie jej wkład do sumy wynosi ok. 3,1 mg/kg. Nadruk jest jednokolorowy, farba wodna, brak pigmentów metalicznych; brak barwionych taśm, folii i elementów z PVC; brak elementów chromianowanych.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Wniosek: ryzyko niezgodności uznano za pomijalne, badanie laboratoryjne za nieproporcjonalne. Ocena podlega weryfikacji przy wystąpieniu któregokolwiek ze zdarzeń wyzwalających z sekcji 9, w szczególności przy zmianie tekturnicy albo dodaniu koloru do nadruku.”</w:t>
            </w:r>
          </w:p>
        </w:tc>
      </w:tr>
    </w:tbl>
    <w:p>
      <w:pPr>
        <w:spacing w:after="150"/>
      </w:pP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8B5CF6"/>
          <w:sz w:val="21"/>
          <w:szCs w:val="21"/>
        </w:rPr>
        <w:t xml:space="preserve">Sekcja 6 — wykaz norm, przykładowe brzmienie ppkt (v)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color="C4B5FD" w:sz="4"/>
              <w:left w:val="single" w:color="C4B5FD" w:sz="18"/>
              <w:bottom w:val="single" w:color="C4B5FD" w:sz="4"/>
              <w:right w:val="single" w:color="C4B5FD" w:sz="4"/>
            </w:tcBorders>
            <w:shd w:fill="F5F3FF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 xml:space="preserve">„Do art. 5 ust. 4 nie opublikowano w Dzienniku Urzędowym UE normy zharmonizowanej ani wspólnej specyfikacji pod rozporządzeniem (UE) 2025/40. Zastosowano metodę rekomendowaną przez Komisję Europejską w FAQ do PPWR (DG ENV, rozdz. III pyt. 10): raport CEN CR 13695-1:2000, w wersji polskiej PKN-CEN/CR 13695-1:2005. Bilans obliczono jako średnią ważoną masą komponentów odniesioną do masy całej jednostki opakowaniowej, zgodnie ze wzorem z § 4 i § 5 rozporządzenia Ministra Środowiska z 21 stycznia 2015 r. (Dz.U. 2015 poz. 170), stosowanym jako metoda techniczna. Granice oznaczalności metody spełniają wymóg wykrywalności co najmniej 1 mg każdego metalu na 1 kg opakowania. Ocenę minimalizacji przeprowadzono według EN 13428:2004 w reżimie przejściowym art. 70 ust. 1 lit. b) PPWR, obowiązującym do 31 grudnia 2029 r.”</w:t>
            </w:r>
          </w:p>
        </w:tc>
      </w:tr>
    </w:tbl>
    <w:p>
      <w:pPr>
        <w:pageBreakBefore/>
      </w:pPr>
    </w:p>
    <w:p>
      <w:pPr>
        <w:pStyle w:val="Heading1"/>
        <w:spacing w:after="180" w:before="400"/>
      </w:pPr>
      <w:r>
        <w:rPr>
          <w:rFonts w:ascii="Arial" w:cs="Arial" w:eastAsia="Arial" w:hAnsi="Arial"/>
          <w:b/>
          <w:bCs/>
          <w:color w:val="0D0B14"/>
          <w:sz w:val="30"/>
          <w:szCs w:val="30"/>
        </w:rPr>
        <w:t xml:space="preserve">Zanim podpiszesz — dziesięć kontrolnych pytań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ten plik dotyczy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jednej jednostki opakowaniowej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a nie jednego materiału — i czy paleta, folia stretch i taśma spinająca mają własne pliki?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wszystkie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komponenty są w tabeli z sekcji 3, razem z taśmą, etykietą, klejem, farbą, zszywkami i wypełniaczem — i czy masy sumują się do masy jednostki?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rola z sekcji „Podmiot sporządzający” jest rozstrzygnięta świadomie? Karton z logo albo na własną specyfikację oznacza, że wytwórcą jesteś Ty.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sekcja 4.1 ma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wynik i wniosek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, a nie tylko przywołanie dokumentu — i czy suma czterech metali jest wyliczona, a nie tylko wyniki jednostkowe?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sekcja 5 zawiera realną analizę ryzyka, a nie zdanie „ryzyko niskie”? To jedyny element, którego rozporządzenie wymaga wprost, poza listą lit. a)–f).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w sekcji 6 ppkt (i) nie wpisano starych norm z uchylonej dyrektywy 94/62/WE?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żadne pole nie zostało puste bez adnotacji? Puste pole jest gorsze niż wpisane „brak danych, plan uzupełnienia w sekcji 9”.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numer deklaracji zgodności z sekcji 10 istnieje i jest niepowtarzalny, a sama deklaracja została podpisana?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wiesz, kto w firmie wyda tę dokumentację organowi </w:t>
      </w: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 ciągu 10 dni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i czy ta osoba wie, gdzie plik leży?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Czy data retencji jest policzona: 5 lat dla opakowania jednorazowego, 10 lat dla wielokrotnego użytku, od wprowadzenia do obrotu?</w:t>
      </w:r>
    </w:p>
    <w:p>
      <w:pPr>
        <w:spacing w:after="220"/>
      </w:pPr>
    </w:p>
    <w:p>
      <w:pPr>
        <w:pStyle w:val="Heading2"/>
        <w:spacing w:after="140" w:before="300"/>
      </w:pPr>
      <w:r>
        <w:rPr>
          <w:rFonts w:ascii="Arial" w:cs="Arial" w:eastAsia="Arial" w:hAnsi="Arial"/>
          <w:b/>
          <w:bCs/>
          <w:color w:val="0D0B14"/>
          <w:sz w:val="24"/>
          <w:szCs w:val="24"/>
        </w:rPr>
        <w:t xml:space="preserve">Zastrzeżenie</w:t>
      </w:r>
    </w:p>
    <w:p>
      <w:pPr>
        <w:spacing w:after="150" w:before="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Wzór ma charakter informacyjny i nie stanowi porady prawnej. Odpowiedzialność za treść sporządzonej dokumentacji technicznej i wystawionej deklaracji zgodności ponosi wytwórca opakowania — art. 39 ust. 4 rozporządzenia (UE) 2025/40. W sytuacjach nietypowych, w szczególności przy opakowaniach wielomateriałowych, opakowaniach do kontaktu z żywnością, obiegach zamkniętych oraz przy wątpliwościach co do tego, kto jest wytwórcą, warto potwierdzić kwalifikację z kancelarią.</w:t>
      </w:r>
    </w:p>
    <w:p>
      <w:pPr>
        <w:spacing w:after="160"/>
      </w:pPr>
    </w:p>
    <w:p>
      <w:r>
        <w:br w:type="page"/>
      </w:r>
    </w:p>
    <w:p>
      <w:r>
        <w:rPr>
          <w:rFonts w:ascii="Arial" w:hAnsi="Arial" w:cs="Arial"/>
          <w:b/>
          <w:i w:val="0"/>
          <w:color w:val="0D0B14"/>
          <w:sz w:val="28"/>
        </w:rPr>
        <w:t>Kim jesteśmy</w:t>
      </w:r>
    </w:p>
    <w:p>
      <w:r>
        <w:rPr>
          <w:rFonts w:ascii="Arial" w:hAnsi="Arial" w:cs="Arial"/>
          <w:b w:val="0"/>
          <w:i w:val="0"/>
          <w:color w:val="1A1A1A"/>
          <w:sz w:val="22"/>
        </w:rPr>
        <w:t>Just Improve P.S.A. — doradztwo regulacyjne i operacyjne dla firm handlowych i e-commerce. Pomagamy przejść przez PPWR od początku do końca: ustalić, kto jest wytwórcą, policzyć masy opakowań, przygotować dokumentację i deklaracje oraz zarejestrować się w krajach, do których sprzedajecie.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/>
          <w:i w:val="0"/>
          <w:color w:val="1A1A1A"/>
          <w:sz w:val="22"/>
        </w:rPr>
        <w:t>Darmowy generator dokumentacji i deklaracji: justimprove.eu/ppwr/generator-dokumentow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 w:val="0"/>
          <w:i w:val="0"/>
          <w:color w:val="1A1A1A"/>
          <w:sz w:val="22"/>
        </w:rPr>
        <w:t>Cały pakiet materiałów do pobrania: justimprove.eu/ppwr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 w:val="0"/>
          <w:i w:val="0"/>
          <w:color w:val="1A1A1A"/>
          <w:sz w:val="22"/>
        </w:rPr>
        <w:t>Pytania, wycena wdrożenia, nietypowa sytuacja: kontakt@justimprove.eu</w:t>
      </w:r>
    </w:p>
    <w:p>
      <w:pPr>
        <w:shd w:val="clear" w:color="auto" w:fill="F5F3FF"/>
        <w:pBdr>
          <w:left w:val="single" w:sz="18" w:space="6" w:color="8B5CF6"/>
        </w:pBdr>
      </w:pPr>
      <w:r>
        <w:rPr>
          <w:rFonts w:ascii="Arial" w:hAnsi="Arial" w:cs="Arial"/>
          <w:b w:val="0"/>
          <w:i w:val="0"/>
          <w:color w:val="1A1A1A"/>
          <w:sz w:val="22"/>
        </w:rPr>
        <w:t>Materiały udostępniamy bezpłatnie i bez zapisów. Jeżeli okażą się przydatne — najbardziej pomoże nam, jeśli podacie je dalej.</w:t>
      </w:r>
    </w:p>
    <w:p>
      <w:r>
        <w:rPr>
          <w:rFonts w:ascii="Arial" w:hAnsi="Arial" w:cs="Arial"/>
          <w:b w:val="0"/>
          <w:i w:val="0"/>
          <w:color w:val="6B7280"/>
          <w:sz w:val="18"/>
        </w:rPr>
        <w:t>Opracowanie ma charakter informacyjny i nie stanowi porady prawnej. Odpowiedzialność za treść dokumentacji technicznej i deklaracji zgodności ponosi wytwórca opakowania (art. 39 ust. 4 rozporządzenia (UE) 2025/40). Stan prawny: 22 sierpnia 2026 r.</w:t>
      </w:r>
    </w:p>
    <w:p>
      <w:r>
        <w:rPr>
          <w:rFonts w:ascii="Arial" w:hAnsi="Arial" w:cs="Arial"/>
          <w:b w:val="0"/>
          <w:i w:val="0"/>
          <w:color w:val="6B7280"/>
          <w:sz w:val="18"/>
        </w:rPr>
        <w:t>Just Improve P.S.A.  ·  justimprove.eu/ppwr  ·  kontakt@justimprove.eu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180520"/>
      </w:tabs>
    </w:pPr>
    <w:r>
      <w:rPr>
        <w:rFonts w:ascii="Arial" w:cs="Arial" w:eastAsia="Arial" w:hAnsi="Arial"/>
        <w:color w:val="6B7280"/>
        <w:sz w:val="18"/>
        <w:szCs w:val="18"/>
      </w:rPr>
      <w:t>justimprove.eu/ppwr</w:t>
    </w:r>
    <w:r>
      <w:rPr>
        <w:rFonts w:ascii="Arial" w:cs="Arial" w:eastAsia="Arial" w:hAnsi="Arial"/>
        <w:color w:val="6B7280"/>
        <w:sz w:val="18"/>
        <w:szCs w:val="18"/>
      </w:rPr>
      <w:t xml:space="preserve">	Strona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7280"/>
        <w:sz w:val="18"/>
        <w:szCs w:val="18"/>
      </w:rPr>
      <w:t xml:space="preserve"> z </w:t>
    </w:r>
    <w:r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8B5CF6" w:sz="6" w:space="4"/>
      </w:pBdr>
      <w:tabs>
        <w:tab w:val="right" w:pos="180520"/>
      </w:tabs>
    </w:pPr>
    <w:r>
      <w:rPr>
        <w:rFonts w:ascii="Arial" w:cs="Arial" w:eastAsia="Arial" w:hAnsi="Arial"/>
        <w:b/>
        <w:bCs/>
        <w:color w:val="6B7280"/>
        <w:sz w:val="18"/>
        <w:szCs w:val="18"/>
      </w:rPr>
      <w:t xml:space="preserve">Just Improve</w:t>
    </w:r>
    <w:r>
      <w:rPr>
        <w:rFonts w:ascii="Arial" w:cs="Arial" w:eastAsia="Arial" w:hAnsi="Arial"/>
        <w:color w:val="6B7280"/>
        <w:sz w:val="18"/>
        <w:szCs w:val="18"/>
      </w:rPr>
      <w:t xml:space="preserve">	Dokumentacja techniczna opakowania — wzór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20" w:hanging="260"/>
      </w:pPr>
    </w:lvl>
    <w:lvl w:ilvl="1" w15:tentative="1">
      <w:start w:val="1"/>
      <w:numFmt w:val="lowerLetter"/>
      <w:lvlText w:val="%2)"/>
      <w:lvlJc w:val="start"/>
      <w:pPr>
        <w:ind w:left="8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image" Target="media/a8e214997c77f5f99d265e13f436dad703ca4660.png"/><Relationship Id="rId12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2026-08-19T15:59:29.204Z</dcterms:created>
  <dcterms:modified xsi:type="dcterms:W3CDTF">2026-08-19T15:59:29.204Z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