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drawing>
          <wp:inline distT="0" distB="0" distL="0" distR="0">
            <wp:extent cx="14287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2000"/>
      </w:pPr>
      <w:r>
        <w:rPr>
          <w:rFonts w:ascii="Arial" w:cs="Arial" w:eastAsia="Arial" w:hAnsi="Arial"/>
          <w:b/>
          <w:bCs/>
          <w:smallCaps/>
          <w:color w:val="8B5CF6"/>
        </w:rPr>
        <w:t xml:space="preserve">PORADNIK I WZORY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0D0B14"/>
          <w:sz w:val="56"/>
          <w:szCs w:val="56"/>
        </w:rPr>
        <w:t xml:space="preserve">O co poprosić dostawcę z Azji</w:t>
      </w:r>
    </w:p>
    <w:p>
      <w:pPr>
        <w:spacing w:after="400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Dane opakowań, oświadczenie o metalach ciężkich i gotowy mail do fabryki
22 sierpnia 2026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Just Improve P.S.A.  ·  justimprove.eu/ppwr  ·  kontakt@justimprove.eu</w:t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Po co ten dokument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Sprowadzacie towar z Chin, Turcji albo Indii. Fabryka nie ma żadnych obowiązków wobec organów Unii Europejskiej i nie przygotuje Wam dokumentacji PPWR — więc w praktyce robicie ją sami. Ale nie zrobicie jej bez danych, które ma tylko ona.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Ten dokument mówi, o co dokładnie poprosić, jak to napisać, żeby dostać odpowiedź, i jak sprawdzić to, co przyjdzie.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Trzy rzeczy, które decydują o skuteczności tego zapytania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Nie piszcie o „PPWR” ani o „art. 5 rozporządzenia 2025/40”. Dla fabryki to pusty dźwięk. Piszcie: heavy metal test according to EU Directive 94/62/EC — tego terminu branża używa od dwudziestu lat.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Wyślijcie tabelkę do wypełnienia, a nie opisową prośbę. Formularz z jednym wypełnionym wierszem przykładowym ma wielokrotnie wyższą zwrotność niż mail z prośbą o „dokumentację zgodności”.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Podajcie termin i powód. „Do 15 września, bo od tej daty nie możemy przyjąć dostawy bez tych danych” działa. „Prosimy przy okazji” nie działa.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Czego potrzebujecie — sześć pozycji</w:t>
      </w:r>
    </w:p>
    <w:tbl>
      <w:tblPr>
        <w:tblW w:type="pct" w:w="100%"/>
        <w:tblBorders>
          <w:top w:val="single" w:color="E5E7EB" w:sz="2"/>
          <w:left w:val="single" w:color="E5E7EB" w:sz="2"/>
          <w:bottom w:val="single" w:color="E5E7EB" w:sz="2"/>
          <w:right w:val="single" w:color="E5E7EB" w:sz="2"/>
          <w:insideH w:val="single" w:color="E5E7EB" w:sz="2"/>
          <w:insideV w:val="single" w:color="E5E7EB" w:sz="2"/>
        </w:tblBorders>
      </w:tblPr>
      <w:tblGrid>
        <w:gridCol w:w="2900"/>
        <w:gridCol w:w="4400"/>
        <w:gridCol w:w="1726"/>
      </w:tblGrid>
      <w:tr>
        <w:trPr>
          <w:cantSplit/>
          <w:tblHeader/>
        </w:trPr>
        <w:tc>
          <w:tcPr>
            <w:tcW w:type="dxa" w:w="29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</w:t>
            </w:r>
          </w:p>
        </w:tc>
        <w:tc>
          <w:tcPr>
            <w:tcW w:type="dxa" w:w="44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Po co Wam to</w:t>
            </w:r>
          </w:p>
        </w:tc>
        <w:tc>
          <w:tcPr>
            <w:tcW w:type="dxa" w:w="1726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Priorytet</w:t>
            </w:r>
          </w:p>
        </w:tc>
      </w:tr>
      <w:tr>
        <w:trPr>
          <w:cantSplit/>
        </w:trP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Masa pustego opakowania w gramach — osobno karton zbiorczy, folia, przekładki, paleta</w:t>
            </w:r>
          </w:p>
        </w:tc>
        <w:tc>
          <w:tcPr>
            <w:tcW w:type="dxa" w:w="4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Bez tego nie rozliczycie sprawozdania EPR. To jedyna liczba, której nie da się niczym zastąpić.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KRYTYCZNE</w:t>
            </w:r>
          </w:p>
        </w:tc>
      </w:tr>
      <w:tr>
        <w:trPr>
          <w:cantSplit/>
        </w:trP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Skład materiałowy wszystkich komponentów: tektura, farba, klej, taśma, zszywki, folia</w:t>
            </w:r>
          </w:p>
        </w:tc>
        <w:tc>
          <w:tcPr>
            <w:tcW w:type="dxa" w:w="4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 tabeli komponentów w dokumentacji technicznej i do oceny ryzyka.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KRYTYCZNE</w:t>
            </w:r>
          </w:p>
        </w:tc>
      </w:tr>
      <w:tr>
        <w:trPr>
          <w:cantSplit/>
        </w:trP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Oświadczenie o metalach ciężkich — suma czterech metali poniżej 100 mg/kg oraz brak zamierzonego wprowadzania</w:t>
            </w:r>
          </w:p>
        </w:tc>
        <w:tc>
          <w:tcPr>
            <w:tcW w:type="dxa" w:w="4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To jedyne realne ryzyko materiałowe przy imporcie. Producent z UE ma ten obowiązek od lat, fabryka w Azji nie.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KRYTYCZNE</w:t>
            </w:r>
          </w:p>
        </w:tc>
      </w:tr>
      <w:tr>
        <w:trPr>
          <w:cantSplit/>
        </w:trP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Raport z badania metali ciężkich, jeżeli istnieje</w:t>
            </w:r>
          </w:p>
        </w:tc>
        <w:tc>
          <w:tcPr>
            <w:tcW w:type="dxa" w:w="4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Jest spora szansa, że mają go w szufladzie — pod starą nazwą, dla innego klienta.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wysoki</w:t>
            </w:r>
          </w:p>
        </w:tc>
      </w:tr>
      <w:tr>
        <w:trPr>
          <w:cantSplit/>
        </w:trP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Wymiary opakowania, gramatura tektury, liczba warstw, typ fali, udział makulatury</w:t>
            </w:r>
          </w:p>
        </w:tc>
        <w:tc>
          <w:tcPr>
            <w:tcW w:type="dxa" w:w="4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Do sekcji konstrukcyjnej dokumentacji i do przyszłej oceny minimalizacji.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średni</w:t>
            </w:r>
          </w:p>
        </w:tc>
      </w:tr>
      <w:tr>
        <w:trPr>
          <w:cantSplit/>
        </w:trPr>
        <w:tc>
          <w:tcPr>
            <w:tcW w:type="dxa" w:w="29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Zdjęcia opakowania — z zewnątrz i otwartego</w:t>
            </w:r>
          </w:p>
        </w:tc>
        <w:tc>
          <w:tcPr>
            <w:tcW w:type="dxa" w:w="4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Nie są wymogiem, ale rozstrzygają spory o to, co właściwie przyjechało.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niski</w:t>
            </w:r>
          </w:p>
        </w:tc>
      </w:tr>
    </w:tbl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Gotowy mail do fabryki — do skopiowania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Wersja angielska, krótka, bez żargonu regulacyjnego. Wstawcie swoje dane w miejsca w nawiasach.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8B5CF6"/>
          <w:sz w:val="18"/>
          <w:szCs w:val="18"/>
        </w:rPr>
        <w:t xml:space="preserve">SUBJECT: PACKAGING DATA AND HEAVY METAL TEST — REQUIRED FOR EU IMPORTS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Dear [name],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We need some information about the PACKAGING you use for our orders — not about the products themselves. New EU packaging rules apply from August 2026 and we cannot clear or sell goods in the EU without this data on file.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Please complete the attached form and return it by [date]. It should take about 20 minutes — most of it is already in your technical data sheets.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What we need: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1.  Empty weight in grams of each packaging item: master carton, inner box, film, dividers, pallet.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  Material composition of every component: board, ink, glue, tape, staples, film.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  A signed statement that the sum of lead, cadmium, mercury and hexavalent chromium in the packaging does not exceed 100 mg/kg, and that none of these metals is intentionally added.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  If you already have one: a heavy metal test report — heavy metal test according to EU Directive 94/62/EC. Reports from Chinese laboratories are acceptable to us.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  Carton dimensions, board grammage, number of layers, flute type, recycled content.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  Photos of the packaging, closed and open.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If you do not have the test report, please tell us — we will arrange testing ourselves and will need samples.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Thank you,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[name, company, position]</w:t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Oświadczenie do podpisu przez fabrykę</w:t>
      </w:r>
    </w:p>
    <w:p>
      <w:pP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Jeżeli fabryka nie ma własnego wzoru, wyślijcie ten. Wystarczy, że wydrukują na papierze firmowym, uzupełnią i podpiszą.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8B5CF6"/>
          <w:sz w:val="18"/>
          <w:szCs w:val="18"/>
        </w:rPr>
        <w:t xml:space="preserve">STATEMENT ON HEAVY METAL CONTENT IN PACKAGING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Supplier (full legal name and address):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/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Products / packaging items covered: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list of item codes or a description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Period of validity: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e.g. valid until material or supplier changes</w:t>
      </w:r>
    </w:p>
    <w:p>
      <w:pPr>
        <w:spacing w:after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2"/>
          <w:szCs w:val="22"/>
        </w:rPr>
        <w:t xml:space="preserve">We hereby declare that, for the packaging items listed above: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sum of the concentration levels of lead (Pb), cadmium (Cd), mercury (Hg) and hexavalent chromium (Cr VI) does not exceed 100 mg/kg.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None of these four metals is intentionally introduced into the packaging or any of its components, including inks, varnishes, adhesives and metal fasteners.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This statement is based on: [tick one] supplier declarations from our own material suppliers / laboratory test report no. …………… dated …………… / internal quality control records.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We will inform the customer without delay of any change of material, ink, adhesive or construction that could affect the above.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 </w:t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Name and position: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/>
      </w:r>
    </w:p>
    <w:p>
      <w:pPr>
        <w:pBdr>
          <w:bottom w:val="dotted" w:color="E5E7EB" w:sz="6" w:space="6"/>
        </w:pBdr>
        <w:spacing w:after="140"/>
      </w:pPr>
      <w:r>
        <w:rPr>
          <w:rFonts w:ascii="Arial" w:cs="Arial" w:eastAsia="Arial" w:hAnsi="Arial"/>
          <w:b/>
          <w:bCs/>
          <w:color w:val="0D0B14"/>
          <w:sz w:val="21"/>
          <w:szCs w:val="21"/>
        </w:rPr>
        <w:t xml:space="preserve">Date and signature:  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/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Jak sprawdzić raport, który przyjdzie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Raport z chińskiego laboratorium jest w porządku — rozporządzenie nie wymaga, żeby badanie wykonano w Unii ani w jednostce notyfikowanej. Ale sprawdźcie sześć rzeczy, zanim wpiszecie go do dokumentacji.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Nazwa i lokalizacja laboratorium. Sam napis „SGS” bez wskazania konkretnego laboratorium jest nieidentyfikowalny.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Numer akredytacji — i czy jej zakres obejmuje oznaczanie metali w opakowaniach, papierze lub tworzywach.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Nazwa Waszego dostawcy jako zleceniodawcy, a nie anonimowego „klienta”.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Identyfikacja badanej próbki: konkretny indeks, gramatura, wymiar. Nie „carton box”.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Wyniki dla każdego z czterech metali OSOBNO oraz wyliczona suma. Limit dotyczy sumy, więc bez niej raport nie odpowiada na pytanie.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Data badania nie starsza niż dwa–trzy lata.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Czerwone flagi — przy nich raport odrzućcie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Wynik podany jako „PASS” bez liczb. Brak numeru akredytacji. Raport starszy niż pięć lat. Brak chromu sześciowartościowego w zakresie badania. Próbka niepowiązana z Waszym indeksem.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Szczególnie częste w motoryzacji i elektronice: przysłany raport RoHS albo REACH. To badanie PRODUKTU, nie opakowania. To zupełnie inny dokument i nie jest dowodem na nic w tej sprawie — odeślijcie z prośbą o właściwy.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Jeżeli badania nie dostaniecie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Zdarza się i nie jest to koniec świata. Wtedy badacie sami — ale mądrze, czyli materiał i technologię zadruku, a nie każdy rozmiar pudła. Ta sama tektura, ta sama farba i ta sama fabryka to jedna próbka reprezentatywna dla całej rodziny formatów.</w:t>
      </w:r>
    </w:p>
    <w:tbl>
      <w:tblPr>
        <w:tblW w:type="pct" w:w="100%"/>
        <w:tblBorders>
          <w:top w:val="single" w:color="E5E7EB" w:sz="2"/>
          <w:left w:val="single" w:color="E5E7EB" w:sz="2"/>
          <w:bottom w:val="single" w:color="E5E7EB" w:sz="2"/>
          <w:right w:val="single" w:color="E5E7EB" w:sz="2"/>
          <w:insideH w:val="single" w:color="E5E7EB" w:sz="2"/>
          <w:insideV w:val="single" w:color="E5E7EB" w:sz="2"/>
        </w:tblBorders>
      </w:tblPr>
      <w:tblGrid>
        <w:gridCol w:w="1700"/>
        <w:gridCol w:w="5600"/>
        <w:gridCol w:w="1726"/>
      </w:tblGrid>
      <w:tr>
        <w:trPr>
          <w:cantSplit/>
          <w:tblHeader/>
        </w:trPr>
        <w:tc>
          <w:tcPr>
            <w:tcW w:type="dxa" w:w="17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Krok</w:t>
            </w:r>
          </w:p>
        </w:tc>
        <w:tc>
          <w:tcPr>
            <w:tcW w:type="dxa" w:w="5600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 zrobić</w:t>
            </w:r>
          </w:p>
        </w:tc>
        <w:tc>
          <w:tcPr>
            <w:tcW w:type="dxa" w:w="1726"/>
            <w:shd w:fill="0D0B1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Rząd kosztu</w:t>
            </w:r>
          </w:p>
        </w:tc>
      </w:tr>
      <w:tr>
        <w:trPr>
          <w:cantSplit/>
        </w:trPr>
        <w:tc>
          <w:tcPr>
            <w:tcW w:type="dxa" w:w="1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Przesiew</w:t>
            </w:r>
          </w:p>
        </w:tc>
        <w:tc>
          <w:tcPr>
            <w:tcW w:type="dxa" w:w="5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XRF na chrom, ołów i kadm. Tani, szybki, nieniszczący. Jeżeli nic nie widzi, badanie specjacyjne jest zbędne.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kilkadziesiąt zł/próbka</w:t>
            </w:r>
          </w:p>
        </w:tc>
      </w:tr>
      <w:tr>
        <w:trPr>
          <w:cantSplit/>
        </w:trPr>
        <w:tc>
          <w:tcPr>
            <w:tcW w:type="dxa" w:w="1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Badanie potwierdzające</w:t>
            </w:r>
          </w:p>
        </w:tc>
        <w:tc>
          <w:tcPr>
            <w:tcW w:type="dxa" w:w="5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Tylko na materiałach podejrzanych. Zamawiajcie z powołaniem na CR 13695-1:2000, z żądaniem wyników dla czterech metali osobno i wyliczonej sumy.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600–1200 zł/próbka</w:t>
            </w:r>
          </w:p>
        </w:tc>
      </w:tr>
      <w:tr>
        <w:trPr>
          <w:cantSplit/>
        </w:trPr>
        <w:tc>
          <w:tcPr>
            <w:tcW w:type="dxa" w:w="17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Plan minimum dla importera</w:t>
            </w:r>
          </w:p>
        </w:tc>
        <w:tc>
          <w:tcPr>
            <w:tcW w:type="dxa" w:w="5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Cztery próbki: karton z własnym nadrukiem, karton z Chin, taśma barwiona, etykieta. Zbierzcie je w jedno zlecenie — opłata za zlecenie jest jednorazowa.</w:t>
            </w:r>
          </w:p>
        </w:tc>
        <w:tc>
          <w:tcPr>
            <w:tcW w:type="dxa" w:w="172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0"/>
                <w:szCs w:val="20"/>
              </w:rPr>
              <w:t xml:space="preserve">3–4,5 tys. zł jednorazowo</w:t>
            </w:r>
          </w:p>
        </w:tc>
      </w:tr>
    </w:tbl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Gdzie pytać w Polsce: Sieć Badawcza Łukasiewicz — Łódzki Instytut Technologiczny (dawne COBRO), J.S. Hamilton Poland, Eurofins Polska. Zapytajcie równolegle w trzech miejscach — rozrzut ofert bywa dwukrotny.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I rzecz, która oszczędza najwięcej: nie kupujcie „pełnego panelu PPWR” za kilkanaście tysięcy, jeżeli opakowanie nie ma kontaktu z żywnością. Najdroższym składnikiem takiego panelu jest badanie PFAS, którego wtedy nie potrzebujecie.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Czego NIE musicie od nich wymagać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Deklaracji zgodności UE. Producent z kraju trzeciego nie ma obowiązku jej wystawić i najczęściej tego nie zrobi. Jeżeli towar idzie pod Waszą marką, wytwórcą i tak jesteście Wy — więc to Wy ją wystawiacie.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Badania na każdą partię. Rozporządzenie nie podaje żadnej częstotliwości badań ani okresu ważności oświadczenia. Obowiązek jest zdarzeniowy: powtarzacie przy zmianie fabryki, materiału, farby albo konstrukcji.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Certyfikatu PPWR. Nie istnieje. Jeżeli fabryka albo pośrednik oferuje Wam taki dokument za dopłatą — to nie jest dokument, którego wymaga jakikolwiek przepis.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Co zrobić z tym, co dostaniecie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Wpiszcie masy do rejestru opakowań i do kalkulatora masy — to zamyka temat sprawozdania EPR.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Wpiszcie skład i masy komponentów do tabeli komponentów w dokumentacji technicznej.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Odeślijcie do oświadczenia i do raportu w sekcji o metalach ciężkich — z numerem i datą, bez przepisywania liczb, których fabryka nie potwierdziła.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Jeżeli czegoś zabrakło — zapiszcie lukę z datą żądania i ponaglenia. Zapisana luka jest prawidłowym wpisem; puste pole nie jest.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Wpiszcie do zamówienia obowiązek powiadamiania o każdej zmianie materiału, farby albo konstrukcji. To ta zmiana uruchamia Wasz obowiązek ponownej oceny.</w:t>
      </w:r>
    </w:p>
    <w:p>
      <w:pPr>
        <w:pageBreakBefore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0D0B14"/>
        </w:rPr>
        <w:t xml:space="preserve">Kim jesteśmy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Just Improve P.S.A. — doradztwo regulacyjne i operacyjne dla firm handlowych i e-commerce. Pomagamy przejść przez PPWR od początku do końca: ustalić, kto jest wytwórcą, policzyć masy opakowań, przygotować dokumentację i deklaracje oraz zarejestrować się w krajach, do których sprzedajecie.</w:t>
      </w:r>
    </w:p>
    <w:tbl>
      <w:tblPr>
        <w:tblW w:type="pct" w:w="100%"/>
        <w:tblBorders>
          <w:top w:val="single" w:color="8B5CF6" w:sz="2"/>
          <w:left w:val="single" w:color="8B5CF6" w:sz="18"/>
          <w:bottom w:val="single" w:color="8B5CF6" w:sz="2"/>
          <w:right w:val="single" w:color="8B5CF6" w:sz="2"/>
          <w:insideH w:val="none"/>
          <w:insideV w:val="none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shd w:fill="F5F3FF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A1A1A"/>
                <w:sz w:val="21"/>
                <w:szCs w:val="21"/>
              </w:rPr>
              <w:t xml:space="preserve">Darmowy generator dokumentacji i deklaracji: justimprove.eu/ppwr/generator-dokumentow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Cały pakiet materiałów do pobrania: justimprove.eu/ppwr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Pytania, wycena wdrożenia, nietypowa sytuacja: kontakt@justimprove.eu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21"/>
                <w:szCs w:val="21"/>
              </w:rPr>
              <w:t xml:space="preserve">Materiały udostępniamy bezpłatnie i bez zapisów. Jeżeli okażą się przydatne — najbardziej pomoże nam, jeśli podacie je dalej.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Opracowanie ma charakter informacyjny i nie stanowi porady prawnej. Odpowiedzialność za treść dokumentacji technicznej i deklaracji zgodności ponosi wytwórca opakowania (art. 39 ust. 4 rozporządzenia (UE) 2025/40). Stan prawny: 22 sierpnia 2026 r.</w:t>
      </w:r>
    </w:p>
    <w:p>
      <w:pPr>
        <w:spacing w:after="1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8"/>
          <w:szCs w:val="18"/>
        </w:rPr>
        <w:t xml:space="preserve">Just Improve P.S.A. · justimprove.eu/ppwr · kontakt@justimprove.eu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180520"/>
      </w:tabs>
    </w:pPr>
    <w:r>
      <w:rPr>
        <w:rFonts w:ascii="Arial" w:cs="Arial" w:eastAsia="Arial" w:hAnsi="Arial"/>
        <w:color w:val="6B7280"/>
        <w:sz w:val="18"/>
        <w:szCs w:val="18"/>
      </w:rPr>
      <w:t xml:space="preserve">justimprove.eu/ppwr</w:t>
    </w:r>
    <w:r>
      <w:rPr>
        <w:rFonts w:ascii="Arial" w:cs="Arial" w:eastAsia="Arial" w:hAnsi="Arial"/>
        <w:color w:val="6B7280"/>
        <w:sz w:val="18"/>
        <w:szCs w:val="18"/>
      </w:rPr>
      <w:t xml:space="preserve">	Strona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7280"/>
        <w:sz w:val="18"/>
        <w:szCs w:val="18"/>
      </w:rPr>
      <w:t xml:space="preserve"> z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8B5CF6" w:sz="6" w:space="4"/>
      </w:pBdr>
      <w:tabs>
        <w:tab w:val="right" w:pos="180520"/>
      </w:tabs>
    </w:pPr>
    <w:r>
      <w:rPr>
        <w:rFonts w:ascii="Arial" w:cs="Arial" w:eastAsia="Arial" w:hAnsi="Arial"/>
        <w:b/>
        <w:bCs/>
        <w:color w:val="6B7280"/>
        <w:sz w:val="18"/>
        <w:szCs w:val="18"/>
      </w:rPr>
      <w:t xml:space="preserve">Just Improve</w:t>
    </w:r>
    <w:r>
      <w:rPr>
        <w:rFonts w:ascii="Arial" w:cs="Arial" w:eastAsia="Arial" w:hAnsi="Arial"/>
        <w:color w:val="6B7280"/>
        <w:sz w:val="18"/>
        <w:szCs w:val="18"/>
      </w:rPr>
      <w:t xml:space="preserve">	O co poprosić dostawcę z Azji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60" w:hanging="260"/>
      </w:pPr>
      <w:rPr>
        <w:rFonts w:ascii="Arial" w:cs="Arial" w:eastAsia="Arial" w:hAnsi="Arial"/>
        <w:b/>
        <w:bCs/>
        <w:color w:val="8B5CF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a8e214997c77f5f99d265e13f436dad703ca466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2026-08-22T12:33:16.708Z</dcterms:created>
  <dcterms:modified xsi:type="dcterms:W3CDTF">2026-08-22T12:33:16.708Z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